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7C" w:rsidRDefault="007D167C" w:rsidP="007D167C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ребенка с типичным ГУС</w:t>
      </w:r>
    </w:p>
    <w:p w:rsidR="007D167C" w:rsidRDefault="007D167C" w:rsidP="007D167C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proofErr w:type="spellStart"/>
      <w:r>
        <w:rPr>
          <w:rFonts w:eastAsia="Times New Roman"/>
        </w:rPr>
        <w:t>Гемолитико</w:t>
      </w:r>
      <w:proofErr w:type="spellEnd"/>
      <w:r>
        <w:rPr>
          <w:rFonts w:eastAsia="Times New Roman"/>
        </w:rPr>
        <w:t xml:space="preserve">-уремический синдром».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87"/>
        <w:gridCol w:w="7352"/>
      </w:tblGrid>
      <w:tr w:rsidR="007D167C" w:rsidTr="007D167C"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67C" w:rsidRDefault="007D167C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3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67C" w:rsidRDefault="007D167C">
            <w:pPr>
              <w:pStyle w:val="a4"/>
            </w:pPr>
            <w:r>
              <w:t>дети</w:t>
            </w:r>
          </w:p>
        </w:tc>
      </w:tr>
      <w:tr w:rsidR="007D167C" w:rsidTr="007D167C"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67C" w:rsidRDefault="007D167C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3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167C" w:rsidRDefault="007D167C">
            <w:pPr>
              <w:pStyle w:val="a4"/>
            </w:pPr>
            <w:r>
              <w:t>врач-гематолог, врач-педиатр, врач-нефролог, врач общей практики (семейный врач), врач – анестезиолог-реаниматолог, врач-гастроэнтеролог, врач-генетик, врач – детский кардиолог, врач – детский хирург, врач-инфекционист, врач-невролог, врач – детский онколог, врач-диетолог, врач – клинический фармаколог</w:t>
            </w:r>
          </w:p>
        </w:tc>
      </w:tr>
    </w:tbl>
    <w:p w:rsidR="007D167C" w:rsidRDefault="007D167C" w:rsidP="007D167C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Критерии диагностики типичного ГУС (STEC-ГУС)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Критерии, позволяющие заподозрить ГУС (STEC-ГУС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Критерии диагностики атипичного </w:t>
      </w:r>
      <w:proofErr w:type="spellStart"/>
      <w:r>
        <w:rPr>
          <w:rStyle w:val="a5"/>
        </w:rPr>
        <w:t>ГУС</w:t>
      </w:r>
      <w:r>
        <w:t>R</w:t>
      </w:r>
      <w:r>
        <w:rPr>
          <w:rStyle w:val="a5"/>
        </w:rPr>
        <w:t>Критерии</w:t>
      </w:r>
      <w:proofErr w:type="spellEnd"/>
      <w:r>
        <w:rPr>
          <w:rStyle w:val="a5"/>
        </w:rPr>
        <w:t xml:space="preserve">, позволяющие </w:t>
      </w:r>
      <w:proofErr w:type="gramStart"/>
      <w:r>
        <w:rPr>
          <w:rStyle w:val="a5"/>
        </w:rPr>
        <w:t>заподозрить</w:t>
      </w:r>
      <w:proofErr w:type="gramEnd"/>
      <w:r>
        <w:rPr>
          <w:rStyle w:val="a5"/>
        </w:rPr>
        <w:t xml:space="preserve"> а ГУС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Сбор жалоб и анамнеза</w:t>
      </w:r>
    </w:p>
    <w:p w:rsidR="007D167C" w:rsidRDefault="007D167C" w:rsidP="007D167C">
      <w:pPr>
        <w:pStyle w:val="3"/>
        <w:spacing w:line="276" w:lineRule="auto"/>
      </w:pP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Стандартное </w:t>
      </w: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Оценка состояния водного баланса организма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Измерение артериального давления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Контроль состояния дыхательной и сердечной функции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Визуальная оценка мочи</w:t>
      </w:r>
    </w:p>
    <w:p w:rsidR="007D167C" w:rsidRDefault="007D167C" w:rsidP="007D167C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Исследование уровня буферных веществ в крови, водородных ионов (рН) крови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Общий клинический анализ крови</w:t>
      </w:r>
    </w:p>
    <w:p w:rsidR="007D167C" w:rsidRDefault="007D167C" w:rsidP="007D167C">
      <w:pPr>
        <w:pStyle w:val="a4"/>
        <w:spacing w:line="276" w:lineRule="auto"/>
      </w:pPr>
      <w:r>
        <w:t>Частота исследований в зависимости от клинической ситуации.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Прямой </w:t>
      </w:r>
      <w:proofErr w:type="spellStart"/>
      <w:r>
        <w:rPr>
          <w:rStyle w:val="a5"/>
        </w:rPr>
        <w:t>антиглобулиновый</w:t>
      </w:r>
      <w:proofErr w:type="spellEnd"/>
      <w:r>
        <w:rPr>
          <w:rStyle w:val="a5"/>
        </w:rPr>
        <w:t xml:space="preserve"> тест (прямая проба </w:t>
      </w:r>
      <w:proofErr w:type="spellStart"/>
      <w:r>
        <w:rPr>
          <w:rStyle w:val="a5"/>
        </w:rPr>
        <w:t>Кумбса</w:t>
      </w:r>
      <w:proofErr w:type="spellEnd"/>
      <w:r>
        <w:rPr>
          <w:rStyle w:val="a5"/>
        </w:rPr>
        <w:t xml:space="preserve">) 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Непрямой </w:t>
      </w:r>
      <w:proofErr w:type="spellStart"/>
      <w:r>
        <w:rPr>
          <w:rStyle w:val="a5"/>
        </w:rPr>
        <w:t>антиглобулиновый</w:t>
      </w:r>
      <w:proofErr w:type="spellEnd"/>
      <w:r>
        <w:rPr>
          <w:rStyle w:val="a5"/>
        </w:rPr>
        <w:t xml:space="preserve"> тест (тест </w:t>
      </w:r>
      <w:proofErr w:type="spellStart"/>
      <w:r>
        <w:rPr>
          <w:rStyle w:val="a5"/>
        </w:rPr>
        <w:t>Кумбса</w:t>
      </w:r>
      <w:proofErr w:type="spellEnd"/>
      <w:r>
        <w:rPr>
          <w:rStyle w:val="a5"/>
        </w:rPr>
        <w:t>)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lastRenderedPageBreak/>
        <w:t>Определение основных групп по системе AB0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Определение антигена D системы Резус (резус-фактор)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Биохимический общетерапевтический анализ крови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Определение сывороточного железа и </w:t>
      </w:r>
      <w:proofErr w:type="spellStart"/>
      <w:r>
        <w:rPr>
          <w:rStyle w:val="a5"/>
        </w:rPr>
        <w:t>ферритина</w:t>
      </w:r>
      <w:proofErr w:type="spellEnd"/>
    </w:p>
    <w:p w:rsidR="007D167C" w:rsidRDefault="007D167C" w:rsidP="007D167C">
      <w:pPr>
        <w:pStyle w:val="a4"/>
        <w:spacing w:line="276" w:lineRule="auto"/>
      </w:pPr>
      <w:r>
        <w:t>Маркер гемолиза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Исследование уровня С3 фракции комплемента</w:t>
      </w:r>
    </w:p>
    <w:p w:rsidR="007D167C" w:rsidRDefault="007D167C" w:rsidP="007D167C">
      <w:pPr>
        <w:pStyle w:val="a4"/>
        <w:spacing w:line="276" w:lineRule="auto"/>
      </w:pPr>
      <w:r>
        <w:t xml:space="preserve">При подозрении на </w:t>
      </w:r>
      <w:proofErr w:type="spellStart"/>
      <w:r>
        <w:t>аГУС</w:t>
      </w:r>
      <w:proofErr w:type="spellEnd"/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Исследование уровня С4 фракции комплемента</w:t>
      </w:r>
    </w:p>
    <w:p w:rsidR="007D167C" w:rsidRDefault="007D167C" w:rsidP="007D167C">
      <w:pPr>
        <w:pStyle w:val="a4"/>
        <w:spacing w:line="276" w:lineRule="auto"/>
      </w:pPr>
      <w:r>
        <w:t xml:space="preserve">При подозрении на </w:t>
      </w:r>
      <w:proofErr w:type="spellStart"/>
      <w:r>
        <w:t>аГУС</w:t>
      </w:r>
      <w:proofErr w:type="spellEnd"/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гаптоглобина</w:t>
      </w:r>
      <w:proofErr w:type="spellEnd"/>
      <w:r>
        <w:rPr>
          <w:rStyle w:val="a5"/>
        </w:rPr>
        <w:t xml:space="preserve"> крови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Исследования уровня </w:t>
      </w:r>
      <w:proofErr w:type="spellStart"/>
      <w:r>
        <w:rPr>
          <w:rStyle w:val="a5"/>
        </w:rPr>
        <w:t>прокальцитонина</w:t>
      </w:r>
      <w:proofErr w:type="spellEnd"/>
      <w:r>
        <w:rPr>
          <w:rStyle w:val="a5"/>
        </w:rPr>
        <w:t xml:space="preserve"> в крови</w:t>
      </w:r>
    </w:p>
    <w:p w:rsidR="007D167C" w:rsidRDefault="007D167C" w:rsidP="007D167C">
      <w:pPr>
        <w:pStyle w:val="a4"/>
        <w:spacing w:line="276" w:lineRule="auto"/>
      </w:pPr>
      <w:proofErr w:type="spellStart"/>
      <w:r>
        <w:rPr>
          <w:rStyle w:val="a5"/>
        </w:rPr>
        <w:t>Коагулограмма</w:t>
      </w:r>
      <w:proofErr w:type="spellEnd"/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Проведение </w:t>
      </w:r>
      <w:proofErr w:type="spellStart"/>
      <w:r>
        <w:rPr>
          <w:rStyle w:val="a5"/>
        </w:rPr>
        <w:t>тромбоэластографии</w:t>
      </w:r>
      <w:proofErr w:type="spellEnd"/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тропонинов</w:t>
      </w:r>
      <w:proofErr w:type="spellEnd"/>
      <w:r>
        <w:rPr>
          <w:rStyle w:val="a5"/>
        </w:rPr>
        <w:t xml:space="preserve"> I, T в крови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Однократное определение активности </w:t>
      </w:r>
      <w:proofErr w:type="spellStart"/>
      <w:r>
        <w:rPr>
          <w:rStyle w:val="a5"/>
        </w:rPr>
        <w:t>металлопротеиназы</w:t>
      </w:r>
      <w:proofErr w:type="spellEnd"/>
      <w:r>
        <w:rPr>
          <w:rStyle w:val="a5"/>
        </w:rPr>
        <w:t xml:space="preserve"> ADAMTS 13 в плазме крови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Определение антител к CFH в сыворотке крови</w:t>
      </w:r>
    </w:p>
    <w:p w:rsidR="007D167C" w:rsidRDefault="007D167C" w:rsidP="007D167C">
      <w:pPr>
        <w:pStyle w:val="a4"/>
        <w:spacing w:line="276" w:lineRule="auto"/>
      </w:pPr>
      <w:r>
        <w:t xml:space="preserve">Всем пациентам с подозрением на </w:t>
      </w:r>
      <w:proofErr w:type="spellStart"/>
      <w:r>
        <w:t>аГУС</w:t>
      </w:r>
      <w:proofErr w:type="spellEnd"/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Микробиологический посев крови на стерильность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>) исследование мокроты на аэробные и факультативно-анаэробные микроорганизмы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Молекулярно-биологическое исследование методом ПЦР (кровь, плевральный экссудат, спинномозговая жидкость) на пневмококк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Реакция латекс-агглютинации пациентам с ТМА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Иммунологическое обследование для диагностики аутоиммунных заболеваний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гомоцистеина</w:t>
      </w:r>
      <w:proofErr w:type="spellEnd"/>
      <w:r>
        <w:rPr>
          <w:rStyle w:val="a5"/>
        </w:rPr>
        <w:t xml:space="preserve"> в крови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lastRenderedPageBreak/>
        <w:t>Однократное определение уровня витамина В12 (</w:t>
      </w:r>
      <w:proofErr w:type="spellStart"/>
      <w:r>
        <w:rPr>
          <w:rStyle w:val="a5"/>
        </w:rPr>
        <w:t>цианокобаламин</w:t>
      </w:r>
      <w:proofErr w:type="spellEnd"/>
      <w:r>
        <w:rPr>
          <w:rStyle w:val="a5"/>
        </w:rPr>
        <w:t>) в крови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Тандемная масс-спектрометрия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Количественное определения 3-гидроксипропионовой, </w:t>
      </w:r>
      <w:proofErr w:type="spellStart"/>
      <w:r>
        <w:rPr>
          <w:rStyle w:val="a5"/>
        </w:rPr>
        <w:t>метиллимонной</w:t>
      </w:r>
      <w:proofErr w:type="spellEnd"/>
      <w:r>
        <w:rPr>
          <w:rStyle w:val="a5"/>
        </w:rPr>
        <w:t>, 3-гидрокси-n-валериановой кислот в моче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Определение общей гемолитической активности комплемента (СН50)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Только </w:t>
      </w:r>
      <w:r>
        <w:t xml:space="preserve">пациентам с </w:t>
      </w:r>
      <w:proofErr w:type="spellStart"/>
      <w:r>
        <w:t>аГУС</w:t>
      </w:r>
      <w:proofErr w:type="spellEnd"/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Исследование полиморфных вариантов генов гемостаза и ферментов </w:t>
      </w:r>
      <w:proofErr w:type="spellStart"/>
      <w:r>
        <w:rPr>
          <w:rStyle w:val="a5"/>
        </w:rPr>
        <w:t>фолатного</w:t>
      </w:r>
      <w:proofErr w:type="spellEnd"/>
      <w:r>
        <w:rPr>
          <w:rStyle w:val="a5"/>
        </w:rPr>
        <w:t xml:space="preserve"> цикла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Общий клинический анализ мочи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Исследование альбумин/креатининового соотношения</w:t>
      </w:r>
    </w:p>
    <w:p w:rsidR="007D167C" w:rsidRDefault="007D167C" w:rsidP="007D167C">
      <w:pPr>
        <w:pStyle w:val="a4"/>
        <w:spacing w:line="276" w:lineRule="auto"/>
      </w:pPr>
      <w:r>
        <w:t xml:space="preserve">Пациентам в острый период STEC-ГУС, </w:t>
      </w:r>
      <w:proofErr w:type="spellStart"/>
      <w:r>
        <w:t>аГУС</w:t>
      </w:r>
      <w:proofErr w:type="spellEnd"/>
      <w:r>
        <w:t xml:space="preserve"> и в период ремиссии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Определение ДНК </w:t>
      </w:r>
      <w:proofErr w:type="spellStart"/>
      <w:r>
        <w:rPr>
          <w:rStyle w:val="a5"/>
        </w:rPr>
        <w:t>диарогенных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эшерихий</w:t>
      </w:r>
      <w:proofErr w:type="spellEnd"/>
      <w:r>
        <w:rPr>
          <w:rStyle w:val="a5"/>
        </w:rPr>
        <w:t xml:space="preserve"> (ЕНЕС, ЕРЕС, ЕТЕС, </w:t>
      </w:r>
      <w:proofErr w:type="spellStart"/>
      <w:r>
        <w:rPr>
          <w:rStyle w:val="a5"/>
        </w:rPr>
        <w:t>EAgEC</w:t>
      </w:r>
      <w:proofErr w:type="spellEnd"/>
      <w:r>
        <w:rPr>
          <w:rStyle w:val="a5"/>
        </w:rPr>
        <w:t>, EIEC) в образцах фекалий методом ПЦР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Микробиологическое (</w:t>
      </w:r>
      <w:proofErr w:type="spellStart"/>
      <w:r>
        <w:rPr>
          <w:rStyle w:val="a5"/>
        </w:rPr>
        <w:t>культуральное</w:t>
      </w:r>
      <w:proofErr w:type="spellEnd"/>
      <w:r>
        <w:rPr>
          <w:rStyle w:val="a5"/>
        </w:rPr>
        <w:t xml:space="preserve">) исследование фекалий/ректального мазка на </w:t>
      </w:r>
      <w:proofErr w:type="spellStart"/>
      <w:r>
        <w:rPr>
          <w:rStyle w:val="a5"/>
        </w:rPr>
        <w:t>диарогенные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эшерихии</w:t>
      </w:r>
      <w:proofErr w:type="spellEnd"/>
      <w:r>
        <w:rPr>
          <w:rStyle w:val="a5"/>
        </w:rPr>
        <w:t xml:space="preserve"> (ЕНЕС, ЕРЕС, ETEC, </w:t>
      </w:r>
      <w:proofErr w:type="spellStart"/>
      <w:r>
        <w:rPr>
          <w:rStyle w:val="a5"/>
        </w:rPr>
        <w:t>EAgEC</w:t>
      </w:r>
      <w:proofErr w:type="spellEnd"/>
      <w:r>
        <w:rPr>
          <w:rStyle w:val="a5"/>
        </w:rPr>
        <w:t>, EIEC)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Диагностика вирусных диарей (</w:t>
      </w:r>
      <w:proofErr w:type="spellStart"/>
      <w:r>
        <w:rPr>
          <w:rStyle w:val="a5"/>
        </w:rPr>
        <w:t>ротавирус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реовирус</w:t>
      </w:r>
      <w:proofErr w:type="spellEnd"/>
      <w:r>
        <w:rPr>
          <w:rStyle w:val="a5"/>
        </w:rPr>
        <w:t xml:space="preserve">, аденовирус, </w:t>
      </w:r>
      <w:proofErr w:type="spellStart"/>
      <w:r>
        <w:rPr>
          <w:rStyle w:val="a5"/>
        </w:rPr>
        <w:t>астровирус</w:t>
      </w:r>
      <w:proofErr w:type="spellEnd"/>
      <w:r>
        <w:rPr>
          <w:rStyle w:val="a5"/>
        </w:rPr>
        <w:t xml:space="preserve">, вирус </w:t>
      </w:r>
      <w:proofErr w:type="spellStart"/>
      <w:r>
        <w:rPr>
          <w:rStyle w:val="a5"/>
        </w:rPr>
        <w:t>Норволк</w:t>
      </w:r>
      <w:proofErr w:type="spellEnd"/>
      <w:r>
        <w:rPr>
          <w:rStyle w:val="a5"/>
        </w:rPr>
        <w:t>, аденовирус и др.) методом ПЦР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Диагностика вирусных инфекций методом ПЦР, ИФА (грипп, аденовирус, ВПГ 1,2,6 типов, ВЭБ, ЦМВ, </w:t>
      </w:r>
      <w:proofErr w:type="spellStart"/>
      <w:r>
        <w:rPr>
          <w:rStyle w:val="a5"/>
        </w:rPr>
        <w:t>энтеровирус</w:t>
      </w:r>
      <w:proofErr w:type="spellEnd"/>
      <w:r>
        <w:rPr>
          <w:rStyle w:val="a5"/>
        </w:rPr>
        <w:t>)</w:t>
      </w:r>
    </w:p>
    <w:p w:rsidR="007D167C" w:rsidRDefault="007D167C" w:rsidP="007D167C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РГ органов грудной клетки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УЗИ органов брюшной полости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Ультразвуковое исследование почек и мочевого пузыря</w:t>
      </w:r>
    </w:p>
    <w:p w:rsidR="007D167C" w:rsidRDefault="007D167C" w:rsidP="007D167C">
      <w:pPr>
        <w:pStyle w:val="a4"/>
        <w:spacing w:line="276" w:lineRule="auto"/>
      </w:pPr>
      <w:r>
        <w:t>С дуплексной допплерографией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ЭКГ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ЭХО-КГ</w:t>
      </w:r>
    </w:p>
    <w:p w:rsidR="007D167C" w:rsidRDefault="007D167C" w:rsidP="007D167C">
      <w:pPr>
        <w:pStyle w:val="a4"/>
        <w:spacing w:line="276" w:lineRule="auto"/>
      </w:pPr>
      <w:proofErr w:type="spellStart"/>
      <w:r>
        <w:rPr>
          <w:rStyle w:val="a5"/>
        </w:rPr>
        <w:t>Фундоскопия</w:t>
      </w:r>
      <w:proofErr w:type="spellEnd"/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lastRenderedPageBreak/>
        <w:t xml:space="preserve">МРТ головного мозга в </w:t>
      </w:r>
      <w:proofErr w:type="spellStart"/>
      <w:r>
        <w:rPr>
          <w:rStyle w:val="a5"/>
        </w:rPr>
        <w:t>ангиорежиме</w:t>
      </w:r>
      <w:proofErr w:type="spellEnd"/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Электроэнцефалография</w:t>
      </w:r>
    </w:p>
    <w:p w:rsidR="007D167C" w:rsidRDefault="007D167C" w:rsidP="007D167C">
      <w:pPr>
        <w:pStyle w:val="3"/>
        <w:spacing w:line="276" w:lineRule="auto"/>
      </w:pPr>
      <w:r>
        <w:rPr>
          <w:rFonts w:eastAsia="Times New Roman"/>
        </w:rPr>
        <w:t>Иная диагностика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Цитологическое исследование </w:t>
      </w:r>
      <w:proofErr w:type="spellStart"/>
      <w:r>
        <w:rPr>
          <w:rStyle w:val="a5"/>
        </w:rPr>
        <w:t>пунктата</w:t>
      </w:r>
      <w:proofErr w:type="spellEnd"/>
      <w:r>
        <w:rPr>
          <w:rStyle w:val="a5"/>
        </w:rPr>
        <w:t xml:space="preserve"> (аспирата) костного мозга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Проведение молекулярно-генетического исследования методом </w:t>
      </w:r>
      <w:proofErr w:type="spellStart"/>
      <w:r>
        <w:rPr>
          <w:rStyle w:val="a5"/>
        </w:rPr>
        <w:t>секвенирования</w:t>
      </w:r>
      <w:proofErr w:type="spellEnd"/>
      <w:r>
        <w:rPr>
          <w:rStyle w:val="a5"/>
        </w:rPr>
        <w:t xml:space="preserve"> нового поколения (NGS) и </w:t>
      </w:r>
      <w:proofErr w:type="spellStart"/>
      <w:r>
        <w:rPr>
          <w:rStyle w:val="a5"/>
        </w:rPr>
        <w:t>секвенирования</w:t>
      </w:r>
      <w:proofErr w:type="spellEnd"/>
      <w:r>
        <w:rPr>
          <w:rStyle w:val="a5"/>
        </w:rPr>
        <w:t xml:space="preserve"> по </w:t>
      </w:r>
      <w:proofErr w:type="spellStart"/>
      <w:r>
        <w:rPr>
          <w:rStyle w:val="a5"/>
        </w:rPr>
        <w:t>Сэнгеру</w:t>
      </w:r>
      <w:proofErr w:type="spellEnd"/>
    </w:p>
    <w:p w:rsidR="007D167C" w:rsidRDefault="007D167C" w:rsidP="007D167C">
      <w:pPr>
        <w:pStyle w:val="a4"/>
        <w:spacing w:line="276" w:lineRule="auto"/>
      </w:pPr>
      <w:proofErr w:type="spellStart"/>
      <w:r>
        <w:rPr>
          <w:rStyle w:val="a5"/>
        </w:rPr>
        <w:t>Нефробиопсия</w:t>
      </w:r>
      <w:proofErr w:type="spellEnd"/>
    </w:p>
    <w:p w:rsidR="007D167C" w:rsidRDefault="007D167C" w:rsidP="007D167C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7D167C" w:rsidRDefault="007D167C" w:rsidP="007D167C">
      <w:pPr>
        <w:pStyle w:val="3"/>
        <w:spacing w:line="276" w:lineRule="auto"/>
      </w:pPr>
      <w:r>
        <w:rPr>
          <w:rFonts w:eastAsia="Times New Roman"/>
        </w:rPr>
        <w:t>Консервативное лечение типичного ГУС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Госпитализация всех пациентов с признаками ТМА, </w:t>
      </w:r>
      <w:proofErr w:type="spellStart"/>
      <w:r>
        <w:rPr>
          <w:rStyle w:val="a5"/>
        </w:rPr>
        <w:t>развившимися</w:t>
      </w:r>
      <w:proofErr w:type="spellEnd"/>
      <w:r>
        <w:rPr>
          <w:rStyle w:val="a5"/>
        </w:rPr>
        <w:t xml:space="preserve"> на фоне симптомов ЖКТ, в диализные центры / многопрофильные стационары с отделением реанимации и интенсивной терапии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Проведение коррекции: </w:t>
      </w:r>
      <w:proofErr w:type="spellStart"/>
      <w:r>
        <w:rPr>
          <w:rStyle w:val="a5"/>
        </w:rPr>
        <w:t>волемических</w:t>
      </w:r>
      <w:proofErr w:type="spellEnd"/>
      <w:r>
        <w:rPr>
          <w:rStyle w:val="a5"/>
        </w:rPr>
        <w:t xml:space="preserve"> расстройств, анемии, АГ, электролитного баланса, КЩС, гипоксии и энцефалопатии, судорожного синдрома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Проведение </w:t>
      </w:r>
      <w:proofErr w:type="spellStart"/>
      <w:r>
        <w:rPr>
          <w:rStyle w:val="a5"/>
        </w:rPr>
        <w:t>нутриционной</w:t>
      </w:r>
      <w:proofErr w:type="spellEnd"/>
      <w:r>
        <w:rPr>
          <w:rStyle w:val="a5"/>
        </w:rPr>
        <w:t xml:space="preserve"> поддержки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Не рекомендуется применять высокие дозы фуросемида (2-5 мг/кг) Не рекомендуется назначать гипотензивную терапию препаратами группы «</w:t>
      </w:r>
      <w:proofErr w:type="spellStart"/>
      <w:r>
        <w:rPr>
          <w:rStyle w:val="a5"/>
        </w:rPr>
        <w:t>миолитики</w:t>
      </w:r>
      <w:proofErr w:type="spellEnd"/>
      <w:r>
        <w:rPr>
          <w:rStyle w:val="a5"/>
        </w:rPr>
        <w:t xml:space="preserve"> прямые»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Расчет потребления жидкости</w:t>
      </w:r>
    </w:p>
    <w:p w:rsidR="007D167C" w:rsidRDefault="007D167C" w:rsidP="007D167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Ограничение при </w:t>
      </w:r>
      <w:proofErr w:type="spellStart"/>
      <w:r>
        <w:rPr>
          <w:rFonts w:eastAsia="Times New Roman"/>
        </w:rPr>
        <w:t>гипергидратации</w:t>
      </w:r>
      <w:proofErr w:type="spellEnd"/>
    </w:p>
    <w:p w:rsidR="007D167C" w:rsidRDefault="007D167C" w:rsidP="007D167C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Восполнение при потерях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Пероральное, зондовое питание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Не рекомендовано применение препаратов, снижающих моторику желудочно-кишечного тракта и антибактериальных препаратов системного действия</w:t>
      </w:r>
    </w:p>
    <w:p w:rsidR="007D167C" w:rsidRDefault="007D167C" w:rsidP="007D167C">
      <w:pPr>
        <w:pStyle w:val="a4"/>
        <w:spacing w:line="276" w:lineRule="auto"/>
      </w:pPr>
      <w:r>
        <w:t xml:space="preserve">При </w:t>
      </w:r>
      <w:proofErr w:type="spellStart"/>
      <w:r>
        <w:t>гемоколите</w:t>
      </w:r>
      <w:proofErr w:type="spellEnd"/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Антибактериальные препараты системного действия (широкого спектра</w:t>
      </w:r>
    </w:p>
    <w:p w:rsidR="007D167C" w:rsidRDefault="007D167C" w:rsidP="007D167C">
      <w:pPr>
        <w:pStyle w:val="a4"/>
        <w:spacing w:line="276" w:lineRule="auto"/>
      </w:pPr>
      <w:r>
        <w:t>При системной воспалительной реакции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Трансфузия </w:t>
      </w:r>
      <w:proofErr w:type="spellStart"/>
      <w:r>
        <w:rPr>
          <w:rStyle w:val="a5"/>
        </w:rPr>
        <w:t>эритроцитной</w:t>
      </w:r>
      <w:proofErr w:type="spellEnd"/>
      <w:r>
        <w:rPr>
          <w:rStyle w:val="a5"/>
        </w:rPr>
        <w:t xml:space="preserve"> взвеси/средства, стимулирующие </w:t>
      </w:r>
      <w:proofErr w:type="spellStart"/>
      <w:r>
        <w:rPr>
          <w:rStyle w:val="a5"/>
        </w:rPr>
        <w:t>эритропоэз</w:t>
      </w:r>
      <w:proofErr w:type="spellEnd"/>
    </w:p>
    <w:p w:rsidR="007D167C" w:rsidRDefault="007D167C" w:rsidP="007D167C">
      <w:pPr>
        <w:pStyle w:val="a4"/>
        <w:spacing w:line="276" w:lineRule="auto"/>
      </w:pPr>
      <w:r>
        <w:lastRenderedPageBreak/>
        <w:t xml:space="preserve">При </w:t>
      </w:r>
      <w:proofErr w:type="spellStart"/>
      <w:r>
        <w:t>Нв</w:t>
      </w:r>
      <w:proofErr w:type="spellEnd"/>
      <w:r>
        <w:t xml:space="preserve"> менее 70г/л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Не рекомендуется проведение трансфузий </w:t>
      </w:r>
      <w:proofErr w:type="spellStart"/>
      <w:r>
        <w:rPr>
          <w:rStyle w:val="a5"/>
        </w:rPr>
        <w:t>тромбоцитного</w:t>
      </w:r>
      <w:proofErr w:type="spellEnd"/>
      <w:r>
        <w:rPr>
          <w:rStyle w:val="a5"/>
        </w:rPr>
        <w:t xml:space="preserve"> концентрата</w:t>
      </w:r>
    </w:p>
    <w:p w:rsidR="007D167C" w:rsidRDefault="007D167C" w:rsidP="007D167C">
      <w:pPr>
        <w:pStyle w:val="a4"/>
        <w:spacing w:line="276" w:lineRule="auto"/>
      </w:pPr>
      <w:r>
        <w:t>При отсутствии геморрагических осложнений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Проведение </w:t>
      </w:r>
      <w:proofErr w:type="spellStart"/>
      <w:r>
        <w:rPr>
          <w:rStyle w:val="a5"/>
        </w:rPr>
        <w:t>плазмотерапии</w:t>
      </w:r>
      <w:proofErr w:type="spellEnd"/>
      <w:r>
        <w:rPr>
          <w:rStyle w:val="a5"/>
        </w:rPr>
        <w:t xml:space="preserve"> в режиме трансфузий СЗП</w:t>
      </w:r>
    </w:p>
    <w:p w:rsidR="007D167C" w:rsidRDefault="007D167C" w:rsidP="007D167C">
      <w:pPr>
        <w:pStyle w:val="a4"/>
        <w:spacing w:line="276" w:lineRule="auto"/>
      </w:pPr>
      <w:r>
        <w:t>В объеме, в среднем, 20-30 (до 40-45) мл/кг/</w:t>
      </w:r>
      <w:proofErr w:type="spellStart"/>
      <w:r>
        <w:t>сут</w:t>
      </w:r>
      <w:proofErr w:type="spellEnd"/>
    </w:p>
    <w:p w:rsidR="007D167C" w:rsidRDefault="007D167C" w:rsidP="007D167C">
      <w:pPr>
        <w:pStyle w:val="a4"/>
        <w:spacing w:line="276" w:lineRule="auto"/>
      </w:pPr>
      <w:proofErr w:type="spellStart"/>
      <w:r>
        <w:rPr>
          <w:rStyle w:val="a5"/>
        </w:rPr>
        <w:t>Плазмообмен</w:t>
      </w:r>
      <w:proofErr w:type="spellEnd"/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Сочетание </w:t>
      </w:r>
      <w:proofErr w:type="spellStart"/>
      <w:r>
        <w:rPr>
          <w:rStyle w:val="a5"/>
        </w:rPr>
        <w:t>плазмообмена</w:t>
      </w:r>
      <w:proofErr w:type="spellEnd"/>
      <w:r>
        <w:rPr>
          <w:rStyle w:val="a5"/>
        </w:rPr>
        <w:t xml:space="preserve"> с назначением НМГ</w:t>
      </w:r>
    </w:p>
    <w:p w:rsidR="007D167C" w:rsidRDefault="007D167C" w:rsidP="007D167C">
      <w:pPr>
        <w:pStyle w:val="a4"/>
        <w:spacing w:line="276" w:lineRule="auto"/>
      </w:pPr>
      <w:proofErr w:type="spellStart"/>
      <w:r>
        <w:t>Далтепарин</w:t>
      </w:r>
      <w:proofErr w:type="spellEnd"/>
      <w:r>
        <w:t xml:space="preserve"> натрия/</w:t>
      </w:r>
      <w:proofErr w:type="spellStart"/>
      <w:r>
        <w:t>надропарин</w:t>
      </w:r>
      <w:proofErr w:type="spellEnd"/>
      <w:r>
        <w:t xml:space="preserve"> натрия из расчета 50-80 МЕ /кг, 0,01 мл/кг или 0.8-1,0 мл препаратов из группы гепарина (НМГ) на одну процедуру при </w:t>
      </w:r>
      <w:proofErr w:type="spellStart"/>
      <w:r>
        <w:t>плазмаферезе</w:t>
      </w:r>
      <w:proofErr w:type="spellEnd"/>
      <w:r>
        <w:t xml:space="preserve"> или 60-80 МЕ/кг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Решение вопроса о заместительной почечной терапии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Выбор вида заместительной почечной терапии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Назначение </w:t>
      </w:r>
      <w:proofErr w:type="spellStart"/>
      <w:r>
        <w:rPr>
          <w:rStyle w:val="a5"/>
        </w:rPr>
        <w:t>антигипертензивной</w:t>
      </w:r>
      <w:proofErr w:type="spellEnd"/>
      <w:r>
        <w:rPr>
          <w:rStyle w:val="a5"/>
        </w:rPr>
        <w:t xml:space="preserve"> терапии</w:t>
      </w:r>
    </w:p>
    <w:p w:rsidR="007D167C" w:rsidRDefault="007D167C" w:rsidP="007D167C">
      <w:pPr>
        <w:pStyle w:val="a4"/>
        <w:spacing w:line="276" w:lineRule="auto"/>
      </w:pPr>
      <w:r>
        <w:t>При артериальной гипертензии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Не рекомендована кортикостероидная терапия</w:t>
      </w:r>
    </w:p>
    <w:p w:rsidR="007D167C" w:rsidRDefault="007D167C" w:rsidP="007D167C">
      <w:pPr>
        <w:pStyle w:val="a4"/>
        <w:spacing w:line="276" w:lineRule="auto"/>
      </w:pPr>
      <w:r>
        <w:t>При STEC-ГУС с наличием значимой протеинурии.</w:t>
      </w:r>
    </w:p>
    <w:p w:rsidR="007D167C" w:rsidRDefault="007D167C" w:rsidP="007D167C">
      <w:pPr>
        <w:pStyle w:val="a4"/>
        <w:spacing w:line="276" w:lineRule="auto"/>
      </w:pPr>
      <w:proofErr w:type="spellStart"/>
      <w:r>
        <w:rPr>
          <w:rStyle w:val="a5"/>
        </w:rPr>
        <w:t>Нефропротективная</w:t>
      </w:r>
      <w:proofErr w:type="spellEnd"/>
      <w:r>
        <w:rPr>
          <w:rStyle w:val="a5"/>
        </w:rPr>
        <w:t xml:space="preserve"> терапия с использованием </w:t>
      </w:r>
      <w:proofErr w:type="spellStart"/>
      <w:r>
        <w:rPr>
          <w:rStyle w:val="a5"/>
        </w:rPr>
        <w:t>иАПФ</w:t>
      </w:r>
      <w:proofErr w:type="spellEnd"/>
      <w:r>
        <w:rPr>
          <w:rStyle w:val="a5"/>
        </w:rPr>
        <w:t>/БРА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Не рекомендовано рутинное применение </w:t>
      </w:r>
      <w:proofErr w:type="spellStart"/>
      <w:r>
        <w:rPr>
          <w:rStyle w:val="a5"/>
        </w:rPr>
        <w:t>нефротоксичных</w:t>
      </w:r>
      <w:proofErr w:type="spellEnd"/>
      <w:r>
        <w:rPr>
          <w:rStyle w:val="a5"/>
        </w:rPr>
        <w:t xml:space="preserve"> средств</w:t>
      </w:r>
    </w:p>
    <w:p w:rsidR="007D167C" w:rsidRDefault="007D167C" w:rsidP="007D167C">
      <w:pPr>
        <w:pStyle w:val="3"/>
        <w:spacing w:line="276" w:lineRule="auto"/>
      </w:pPr>
      <w:r>
        <w:rPr>
          <w:rFonts w:eastAsia="Times New Roman"/>
        </w:rPr>
        <w:t>Хирургическое лечение типичного ГУС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Трансплантация почки</w:t>
      </w:r>
    </w:p>
    <w:p w:rsidR="007D167C" w:rsidRDefault="007D167C" w:rsidP="007D167C">
      <w:pPr>
        <w:pStyle w:val="a4"/>
        <w:spacing w:line="276" w:lineRule="auto"/>
      </w:pPr>
      <w:r>
        <w:t>Пациентам с ХБП 5 в исходе STEC-ГУС</w:t>
      </w:r>
    </w:p>
    <w:p w:rsidR="007D167C" w:rsidRDefault="007D167C" w:rsidP="007D167C">
      <w:pPr>
        <w:pStyle w:val="2"/>
        <w:spacing w:line="276" w:lineRule="auto"/>
      </w:pPr>
      <w:r>
        <w:rPr>
          <w:rFonts w:eastAsia="Times New Roman"/>
        </w:rPr>
        <w:t>Профилактика типичного ГУС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Ознакомление родителей маленьких детей с правилами предотвращения контаминации STEC</w:t>
      </w:r>
    </w:p>
    <w:p w:rsidR="007D167C" w:rsidRDefault="007D167C" w:rsidP="007D167C">
      <w:pPr>
        <w:pStyle w:val="2"/>
        <w:spacing w:line="276" w:lineRule="auto"/>
      </w:pPr>
      <w:r>
        <w:rPr>
          <w:rFonts w:eastAsia="Times New Roman"/>
        </w:rPr>
        <w:t>Диспансерное наблюдение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lastRenderedPageBreak/>
        <w:t>Динамическое наблюдение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 xml:space="preserve">Решение вопроса о </w:t>
      </w:r>
      <w:proofErr w:type="spellStart"/>
      <w:r>
        <w:rPr>
          <w:rStyle w:val="a5"/>
        </w:rPr>
        <w:t>посиндромной</w:t>
      </w:r>
      <w:proofErr w:type="spellEnd"/>
      <w:r>
        <w:rPr>
          <w:rStyle w:val="a5"/>
        </w:rPr>
        <w:t xml:space="preserve"> терапии и начале ЗМТ</w:t>
      </w:r>
    </w:p>
    <w:p w:rsidR="007D167C" w:rsidRDefault="007D167C" w:rsidP="007D167C">
      <w:pPr>
        <w:pStyle w:val="a4"/>
        <w:spacing w:line="276" w:lineRule="auto"/>
      </w:pPr>
      <w:r>
        <w:t>При достижении ХБП</w:t>
      </w:r>
    </w:p>
    <w:p w:rsidR="007D167C" w:rsidRDefault="007D167C" w:rsidP="007D167C">
      <w:pPr>
        <w:pStyle w:val="a4"/>
        <w:spacing w:line="276" w:lineRule="auto"/>
      </w:pPr>
      <w:r>
        <w:rPr>
          <w:rStyle w:val="a5"/>
        </w:rPr>
        <w:t>Повторные госпитализации при прогрессировании почечной недостаточности</w:t>
      </w:r>
    </w:p>
    <w:p w:rsidR="007D167C" w:rsidRDefault="007D167C" w:rsidP="007D167C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EA6D37" w:rsidRDefault="00EA6D37">
      <w:bookmarkStart w:id="0" w:name="_GoBack"/>
      <w:bookmarkEnd w:id="0"/>
    </w:p>
    <w:sectPr w:rsidR="00EA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1F25"/>
    <w:multiLevelType w:val="multilevel"/>
    <w:tmpl w:val="0404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7C"/>
    <w:rsid w:val="007D167C"/>
    <w:rsid w:val="00E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6D580-C501-4E84-8835-EE12DE21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7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D16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7D167C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D167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167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D16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167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D1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2023-02-06T07:13:00Z</dcterms:created>
  <dcterms:modified xsi:type="dcterms:W3CDTF">2023-02-06T07:14:00Z</dcterms:modified>
</cp:coreProperties>
</file>