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E2" w:rsidRDefault="000236E2" w:rsidP="000236E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пациентов с </w:t>
      </w:r>
      <w:proofErr w:type="spellStart"/>
      <w:r>
        <w:rPr>
          <w:rFonts w:eastAsia="Times New Roman"/>
        </w:rPr>
        <w:t>саркоидозом</w:t>
      </w:r>
      <w:proofErr w:type="spellEnd"/>
      <w:r>
        <w:rPr>
          <w:rFonts w:eastAsia="Times New Roman"/>
        </w:rPr>
        <w:t xml:space="preserve"> (дети)</w:t>
      </w:r>
    </w:p>
    <w:p w:rsidR="000236E2" w:rsidRDefault="000236E2" w:rsidP="000236E2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"https://cr.minzdrav.gov.ru/recomend/736_1"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Саркоидоз</w:t>
      </w:r>
      <w:proofErr w:type="spellEnd"/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3"/>
        <w:gridCol w:w="7636"/>
      </w:tblGrid>
      <w:tr w:rsidR="000236E2" w:rsidTr="00023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t>дети, мужчины, женщины</w:t>
            </w:r>
          </w:p>
        </w:tc>
      </w:tr>
      <w:tr w:rsidR="000236E2" w:rsidTr="00023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t>любая</w:t>
            </w:r>
          </w:p>
        </w:tc>
      </w:tr>
      <w:tr w:rsidR="000236E2" w:rsidTr="00023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t>любая</w:t>
            </w:r>
          </w:p>
        </w:tc>
      </w:tr>
      <w:tr w:rsidR="000236E2" w:rsidTr="00023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t>без осложнений</w:t>
            </w:r>
          </w:p>
        </w:tc>
      </w:tr>
      <w:tr w:rsidR="000236E2" w:rsidTr="00023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6E2" w:rsidRDefault="000236E2">
            <w:pPr>
              <w:pStyle w:val="a4"/>
            </w:pPr>
            <w:r>
              <w:t>первичная, специализированная, амбулаторно, стационарно, плановая</w:t>
            </w:r>
          </w:p>
        </w:tc>
      </w:tr>
    </w:tbl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Госпитализация больных </w:t>
      </w:r>
      <w:proofErr w:type="spellStart"/>
      <w:r>
        <w:rPr>
          <w:rStyle w:val="a5"/>
        </w:rPr>
        <w:t>саркоидозом</w:t>
      </w:r>
      <w:proofErr w:type="spellEnd"/>
      <w:r>
        <w:rPr>
          <w:rStyle w:val="a5"/>
        </w:rPr>
        <w:t xml:space="preserve"> показана на этапе первичной интенсивной диагностики, для инвазивной диагностики, для интенсивной терапии и оказания неотложной помощи при тяжелом поражении органов и систем. В большинстве случаев наблюдение и лечение больных </w:t>
      </w:r>
      <w:proofErr w:type="spellStart"/>
      <w:r>
        <w:rPr>
          <w:rStyle w:val="a5"/>
        </w:rPr>
        <w:t>саркоидозом</w:t>
      </w:r>
      <w:proofErr w:type="spellEnd"/>
      <w:r>
        <w:rPr>
          <w:rStyle w:val="a5"/>
        </w:rPr>
        <w:t xml:space="preserve"> проводится в амбулаторных условиях.</w:t>
      </w:r>
    </w:p>
    <w:p w:rsidR="000236E2" w:rsidRDefault="000236E2" w:rsidP="000236E2">
      <w:pPr>
        <w:pStyle w:val="2"/>
        <w:spacing w:line="276" w:lineRule="auto"/>
      </w:pPr>
      <w:r>
        <w:rPr>
          <w:rFonts w:eastAsia="Times New Roman"/>
        </w:rPr>
        <w:t>Диагностика. Амбулаторно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Слабость, утомляемость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Одышка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и дискомфорт в грудной клетке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Кашель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Лихорадка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Суставной синдром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остроты зрения и/или затуманивание зрения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Жалобы со стороны сердечно-сосудистой системы</w:t>
      </w:r>
    </w:p>
    <w:p w:rsidR="000236E2" w:rsidRDefault="000236E2" w:rsidP="000236E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Неврологические жалобы</w:t>
      </w:r>
    </w:p>
    <w:p w:rsidR="000236E2" w:rsidRDefault="000236E2" w:rsidP="000236E2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Осмотр</w:t>
      </w:r>
    </w:p>
    <w:p w:rsidR="000236E2" w:rsidRDefault="000236E2" w:rsidP="000236E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у детей и подростков старше 4 лет в большинстве случаев проявления </w:t>
      </w:r>
      <w:proofErr w:type="spellStart"/>
      <w:r>
        <w:rPr>
          <w:rFonts w:eastAsia="Times New Roman"/>
        </w:rPr>
        <w:t>саркоидоза</w:t>
      </w:r>
      <w:proofErr w:type="spellEnd"/>
      <w:r>
        <w:rPr>
          <w:rFonts w:eastAsia="Times New Roman"/>
        </w:rPr>
        <w:t xml:space="preserve"> не отличаются от взрослых, с преобладанием внутригрудных изменений, чаще это подростки 13 лет и старше</w:t>
      </w:r>
    </w:p>
    <w:p w:rsidR="000236E2" w:rsidRDefault="000236E2" w:rsidP="000236E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возрасте 4 лет и моложе «</w:t>
      </w:r>
      <w:proofErr w:type="spellStart"/>
      <w:r>
        <w:rPr>
          <w:rFonts w:eastAsia="Times New Roman"/>
        </w:rPr>
        <w:t>саркоидоз</w:t>
      </w:r>
      <w:proofErr w:type="spellEnd"/>
      <w:r>
        <w:rPr>
          <w:rFonts w:eastAsia="Times New Roman"/>
        </w:rPr>
        <w:t xml:space="preserve"> с ранним началом заболевания</w:t>
      </w:r>
      <w:proofErr w:type="gramStart"/>
      <w:r>
        <w:rPr>
          <w:rFonts w:eastAsia="Times New Roman"/>
        </w:rPr>
        <w:t>» ,</w:t>
      </w:r>
      <w:proofErr w:type="gramEnd"/>
      <w:r>
        <w:rPr>
          <w:rFonts w:eastAsia="Times New Roman"/>
        </w:rPr>
        <w:t xml:space="preserve"> доминирует триада – артрит, </w:t>
      </w:r>
      <w:proofErr w:type="spellStart"/>
      <w:r>
        <w:rPr>
          <w:rFonts w:eastAsia="Times New Roman"/>
        </w:rPr>
        <w:t>увеит</w:t>
      </w:r>
      <w:proofErr w:type="spellEnd"/>
      <w:r>
        <w:rPr>
          <w:rFonts w:eastAsia="Times New Roman"/>
        </w:rPr>
        <w:t xml:space="preserve"> и поражения кожи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Пальпация периферических лимфатических узлов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lastRenderedPageBreak/>
        <w:t>Осмотр конъюнктивы и радужной оболочки глаза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Перкуссия и аускультация</w:t>
      </w:r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Клинический анализ крови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Оценка функции почек</w:t>
      </w:r>
    </w:p>
    <w:p w:rsidR="000236E2" w:rsidRDefault="000236E2" w:rsidP="000236E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анализ мочи,</w:t>
      </w:r>
    </w:p>
    <w:p w:rsidR="000236E2" w:rsidRDefault="000236E2" w:rsidP="000236E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креатинин</w:t>
      </w:r>
      <w:proofErr w:type="spellEnd"/>
      <w:r>
        <w:rPr>
          <w:rFonts w:eastAsia="Times New Roman"/>
        </w:rPr>
        <w:t>,</w:t>
      </w:r>
    </w:p>
    <w:p w:rsidR="000236E2" w:rsidRDefault="000236E2" w:rsidP="000236E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азот мочевины крови,</w:t>
      </w:r>
    </w:p>
    <w:p w:rsidR="000236E2" w:rsidRDefault="000236E2" w:rsidP="000236E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клубочковая фильтрации.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Ангиотензинпревращающий</w:t>
      </w:r>
      <w:proofErr w:type="spellEnd"/>
      <w:r>
        <w:rPr>
          <w:rStyle w:val="a5"/>
        </w:rPr>
        <w:t xml:space="preserve"> фермент (АПФ)</w:t>
      </w:r>
    </w:p>
    <w:p w:rsidR="000236E2" w:rsidRDefault="000236E2" w:rsidP="000236E2">
      <w:pPr>
        <w:pStyle w:val="a4"/>
        <w:spacing w:line="276" w:lineRule="auto"/>
      </w:pPr>
      <w:r>
        <w:t>Норма в возрасте 6–18 лет – 29–113 Единиц АПФ, в возрасте более 18 лет – 20–70 Единиц АПФ.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С-реактивный белок</w:t>
      </w:r>
    </w:p>
    <w:p w:rsidR="000236E2" w:rsidRDefault="000236E2" w:rsidP="000236E2">
      <w:pPr>
        <w:pStyle w:val="a4"/>
        <w:spacing w:line="276" w:lineRule="auto"/>
      </w:pPr>
      <w:r>
        <w:t>В норме менее 5 мг/л.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Уровень кальция в крови и моче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Туберкулиновая проба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Тесты на высвобождение интерферона-гамма </w:t>
      </w:r>
      <w:proofErr w:type="spellStart"/>
      <w:r>
        <w:rPr>
          <w:rStyle w:val="a5"/>
        </w:rPr>
        <w:t>in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vitro</w:t>
      </w:r>
      <w:proofErr w:type="spellEnd"/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Флюорография и обзорная рентгенография в двух проекциях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Компьютерная томография органов грудной клетки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Магнитно-резонансная томография</w:t>
      </w:r>
    </w:p>
    <w:p w:rsidR="000236E2" w:rsidRDefault="000236E2" w:rsidP="000236E2">
      <w:pPr>
        <w:pStyle w:val="a4"/>
        <w:spacing w:line="276" w:lineRule="auto"/>
      </w:pPr>
      <w:r>
        <w:t xml:space="preserve">МРТ информативна при </w:t>
      </w:r>
      <w:proofErr w:type="spellStart"/>
      <w:r>
        <w:t>нейро</w:t>
      </w:r>
      <w:proofErr w:type="spellEnd"/>
      <w:r>
        <w:t xml:space="preserve">- и </w:t>
      </w:r>
      <w:proofErr w:type="spellStart"/>
      <w:r>
        <w:t>кардиосаркоидозе</w:t>
      </w:r>
      <w:proofErr w:type="spellEnd"/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Перфузионная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пульмоносцинтиграфия</w:t>
      </w:r>
      <w:proofErr w:type="spellEnd"/>
      <w:r>
        <w:rPr>
          <w:rStyle w:val="a5"/>
        </w:rPr>
        <w:t xml:space="preserve"> с ММА-Тс-99м и позитивная </w:t>
      </w:r>
      <w:proofErr w:type="spellStart"/>
      <w:r>
        <w:rPr>
          <w:rStyle w:val="a5"/>
        </w:rPr>
        <w:t>пульмоносцинтиграфию</w:t>
      </w:r>
      <w:proofErr w:type="spellEnd"/>
      <w:r>
        <w:rPr>
          <w:rStyle w:val="a5"/>
        </w:rPr>
        <w:t xml:space="preserve"> с цитратом Ga-67</w:t>
      </w:r>
    </w:p>
    <w:p w:rsidR="000236E2" w:rsidRDefault="000236E2" w:rsidP="000236E2">
      <w:pPr>
        <w:pStyle w:val="a4"/>
        <w:spacing w:line="276" w:lineRule="auto"/>
      </w:pPr>
      <w:r>
        <w:t>Выявляют нарушения микроциркуляции легких и функции лимфатических узлов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Позитронно-эмиссионная томография (ПЭТ)</w:t>
      </w:r>
    </w:p>
    <w:p w:rsidR="000236E2" w:rsidRDefault="000236E2" w:rsidP="000236E2">
      <w:pPr>
        <w:pStyle w:val="a4"/>
        <w:spacing w:line="276" w:lineRule="auto"/>
      </w:pPr>
      <w:r>
        <w:lastRenderedPageBreak/>
        <w:t xml:space="preserve">Позволяет получить достоверную информацию об активности </w:t>
      </w:r>
      <w:proofErr w:type="spellStart"/>
      <w:proofErr w:type="gramStart"/>
      <w:r>
        <w:t>процесса,в</w:t>
      </w:r>
      <w:proofErr w:type="spellEnd"/>
      <w:proofErr w:type="gramEnd"/>
      <w:r>
        <w:t xml:space="preserve"> сочетании с методами анатомической визуализации (КТ, МРТ) выявить локализацию повышенной метаболической активности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Ультразвуковое исследование (УЗИ) эндоскопическое </w:t>
      </w:r>
      <w:proofErr w:type="spellStart"/>
      <w:r>
        <w:rPr>
          <w:rStyle w:val="a5"/>
        </w:rPr>
        <w:t>чреспищеводное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чрестрахеобронхиальное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Визуализация разных групп лимфатических узлов средостения, определения их размеров, особенностей строения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Визуализация внелегочного </w:t>
      </w:r>
      <w:proofErr w:type="spellStart"/>
      <w:r>
        <w:rPr>
          <w:rStyle w:val="a5"/>
        </w:rPr>
        <w:t>саркоидоза</w:t>
      </w:r>
      <w:proofErr w:type="spellEnd"/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УЗИ печени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УЗИ селезенки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КТ печени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КТ селезенки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Ультразвуковое исследование сердца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МРТ, КТ сердца</w:t>
      </w:r>
    </w:p>
    <w:p w:rsidR="000236E2" w:rsidRDefault="000236E2" w:rsidP="000236E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МРТ ГМ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Спирометрия с определением объемов (ФЖЕЛ, ОФВ1 и их соотношения ОФВ1/ФЖЕЛ) и объемных скоростей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t>R</w:t>
      </w:r>
      <w:r>
        <w:rPr>
          <w:rStyle w:val="a5"/>
        </w:rPr>
        <w:t>Пульсоксиметрия</w:t>
      </w:r>
      <w:proofErr w:type="spellEnd"/>
      <w:r>
        <w:rPr>
          <w:rStyle w:val="a5"/>
        </w:rPr>
        <w:t xml:space="preserve"> в покое и во время теста с 6-минутной ходьбой (6MWT), исследование газов артериальной крови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Нагрузочные кардиопульмональные тесты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ЭКГ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Мониторинг по </w:t>
      </w:r>
      <w:proofErr w:type="spellStart"/>
      <w:r>
        <w:rPr>
          <w:rStyle w:val="a5"/>
        </w:rPr>
        <w:t>Холтеру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при выявлении нарушений ритма</w:t>
      </w:r>
    </w:p>
    <w:p w:rsidR="000236E2" w:rsidRDefault="000236E2" w:rsidP="000236E2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Диагностика. Стационар</w:t>
      </w:r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Инвазивные методы диагностики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Бронхоскопические методы</w:t>
      </w:r>
    </w:p>
    <w:p w:rsidR="000236E2" w:rsidRDefault="000236E2" w:rsidP="000236E2">
      <w:pPr>
        <w:pStyle w:val="a4"/>
        <w:spacing w:line="276" w:lineRule="auto"/>
      </w:pPr>
      <w:r>
        <w:t xml:space="preserve">Бронхоальвеолярный </w:t>
      </w:r>
      <w:proofErr w:type="spellStart"/>
      <w:r>
        <w:t>лаваж</w:t>
      </w:r>
      <w:proofErr w:type="spellEnd"/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Трансбронхиальная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чрезбронхиальная</w:t>
      </w:r>
      <w:proofErr w:type="spellEnd"/>
      <w:r>
        <w:rPr>
          <w:rStyle w:val="a5"/>
        </w:rPr>
        <w:t>) щипцовая биопсия легкого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Классическая тонкоигольная пункция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lastRenderedPageBreak/>
        <w:t>Эндобронхиальная биопсия слизистой бронхиального дерева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Щеточковая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браш</w:t>
      </w:r>
      <w:proofErr w:type="spellEnd"/>
      <w:r>
        <w:rPr>
          <w:rStyle w:val="a5"/>
        </w:rPr>
        <w:t>) биопсия слизистой бронхиального дерева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Эндоскопическая </w:t>
      </w:r>
      <w:proofErr w:type="spellStart"/>
      <w:r>
        <w:rPr>
          <w:rStyle w:val="a5"/>
        </w:rPr>
        <w:t>трансбронхиальная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криобиопсия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Применяется для определения ограничения всех </w:t>
      </w:r>
      <w:proofErr w:type="spellStart"/>
      <w:r>
        <w:t>бронхобиопсий</w:t>
      </w:r>
      <w:proofErr w:type="spellEnd"/>
      <w:r>
        <w:t xml:space="preserve"> (получение сравнительно небольшого количества диагностического материала, морфологическая трактовка которого при дифференциальной диагностике гранулематозного воспаления может быть затруднена).</w:t>
      </w:r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Хирургические диагностические операции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Трансторакальная</w:t>
      </w:r>
      <w:proofErr w:type="spellEnd"/>
      <w:r>
        <w:rPr>
          <w:rStyle w:val="a5"/>
        </w:rPr>
        <w:t xml:space="preserve"> пункционная биопсия под контролем КТ</w:t>
      </w:r>
    </w:p>
    <w:p w:rsidR="000236E2" w:rsidRDefault="000236E2" w:rsidP="000236E2">
      <w:pPr>
        <w:pStyle w:val="a4"/>
        <w:spacing w:line="276" w:lineRule="auto"/>
      </w:pPr>
      <w:r>
        <w:t>Показаниями для проведения данного метода являются периферически расположенные очаговые изменения в легких.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Торакотомия с биопсией легкого и внутригрудных лимфатических узлов</w:t>
      </w:r>
    </w:p>
    <w:p w:rsidR="000236E2" w:rsidRDefault="000236E2" w:rsidP="000236E2">
      <w:pPr>
        <w:pStyle w:val="a4"/>
        <w:spacing w:line="276" w:lineRule="auto"/>
      </w:pPr>
      <w:r>
        <w:t>Показаниями для такого вида оперативного вмешательства является невозможность на дооперационном этапе классифицировать процесс в ткани легких, лимфатических узлах средостения, как доброкачественный.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Видеоторакоскопия</w:t>
      </w:r>
      <w:proofErr w:type="spellEnd"/>
      <w:r>
        <w:rPr>
          <w:rStyle w:val="a5"/>
        </w:rPr>
        <w:t>/видео-</w:t>
      </w:r>
      <w:proofErr w:type="spellStart"/>
      <w:r>
        <w:rPr>
          <w:rStyle w:val="a5"/>
        </w:rPr>
        <w:t>ассистированная</w:t>
      </w:r>
      <w:proofErr w:type="spellEnd"/>
      <w:r>
        <w:rPr>
          <w:rStyle w:val="a5"/>
        </w:rPr>
        <w:t xml:space="preserve"> торакоскопия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Медиастиноскопия</w:t>
      </w:r>
      <w:proofErr w:type="spellEnd"/>
    </w:p>
    <w:p w:rsidR="000236E2" w:rsidRDefault="000236E2" w:rsidP="000236E2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Лечение основано на общих принципах терапии с учётом возрастных ограничений и возрастных особенностях дозировки лекарственных средств.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Всем пациентам с </w:t>
      </w:r>
      <w:proofErr w:type="spellStart"/>
      <w:r>
        <w:rPr>
          <w:rStyle w:val="a5"/>
        </w:rPr>
        <w:t>саркоидозом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необходимактивный</w:t>
      </w:r>
      <w:proofErr w:type="spellEnd"/>
      <w:r>
        <w:rPr>
          <w:rStyle w:val="a5"/>
        </w:rPr>
        <w:t xml:space="preserve"> образ жизни</w:t>
      </w:r>
    </w:p>
    <w:p w:rsidR="000236E2" w:rsidRDefault="000236E2" w:rsidP="000236E2">
      <w:pPr>
        <w:pStyle w:val="a4"/>
        <w:spacing w:line="276" w:lineRule="auto"/>
      </w:pPr>
      <w:r>
        <w:t>избегать: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гиперинсоляции</w:t>
      </w:r>
      <w:proofErr w:type="spellEnd"/>
      <w:r>
        <w:rPr>
          <w:rFonts w:eastAsia="Times New Roman"/>
        </w:rPr>
        <w:t xml:space="preserve"> (не загорать),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физиопроцедур</w:t>
      </w:r>
      <w:proofErr w:type="spellEnd"/>
      <w:r>
        <w:rPr>
          <w:rFonts w:eastAsia="Times New Roman"/>
        </w:rPr>
        <w:t xml:space="preserve"> с электромагнитными полями,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грязелечения,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приема интерферонов, индукторов </w:t>
      </w:r>
      <w:proofErr w:type="spellStart"/>
      <w:r>
        <w:rPr>
          <w:rFonts w:eastAsia="Times New Roman"/>
        </w:rPr>
        <w:t>интерфероногенеза</w:t>
      </w:r>
      <w:proofErr w:type="spellEnd"/>
      <w:r>
        <w:rPr>
          <w:rFonts w:eastAsia="Times New Roman"/>
        </w:rPr>
        <w:t xml:space="preserve"> и иных стимуляторов иммунитета (в том числе, биологически активных добавок).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ограничение молочных продуктов и другой пищи с высоким содержанием кальция рекомендуется только больным с </w:t>
      </w:r>
      <w:proofErr w:type="spellStart"/>
      <w:r>
        <w:rPr>
          <w:rFonts w:eastAsia="Times New Roman"/>
        </w:rPr>
        <w:t>гиперкальциемий</w:t>
      </w:r>
      <w:proofErr w:type="spellEnd"/>
      <w:r>
        <w:rPr>
          <w:rFonts w:eastAsia="Times New Roman"/>
        </w:rPr>
        <w:t xml:space="preserve"> и/или </w:t>
      </w:r>
      <w:proofErr w:type="spellStart"/>
      <w:r>
        <w:rPr>
          <w:rFonts w:eastAsia="Times New Roman"/>
        </w:rPr>
        <w:t>гиперкальцийурией</w:t>
      </w:r>
      <w:proofErr w:type="spellEnd"/>
      <w:r>
        <w:rPr>
          <w:rFonts w:eastAsia="Times New Roman"/>
        </w:rPr>
        <w:t>.</w:t>
      </w:r>
    </w:p>
    <w:p w:rsidR="000236E2" w:rsidRDefault="000236E2" w:rsidP="000236E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пищевые добавки и препараты витамина D только по показаниям при наличии остеопороза под контролем уровня гидрокси-витамина-D3 и кальция в крови и моче</w:t>
      </w:r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Системные </w:t>
      </w:r>
      <w:proofErr w:type="spellStart"/>
      <w:r>
        <w:rPr>
          <w:rStyle w:val="a5"/>
        </w:rPr>
        <w:t>глюкокортикостероиды</w:t>
      </w:r>
      <w:proofErr w:type="spellEnd"/>
    </w:p>
    <w:p w:rsidR="000236E2" w:rsidRDefault="000236E2" w:rsidP="000236E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Преднизолон</w:t>
      </w:r>
    </w:p>
    <w:p w:rsidR="000236E2" w:rsidRDefault="000236E2" w:rsidP="000236E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Метилпреднизолон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Ежедневно утром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в начальной дозе 25–30 мг в сутки на 4 недели, затем дозу снижают по 5 мг в месяц ступенчато до поддерживающей в 10 мг для контроля над симптомами и прогрессированием болезни и продолжают 12–24 месяца. Через 3 месяца от начала лечения необходимо оценить эффект ГКС. Если эффекта нет, переходят на альтернативную терапию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Антиметаболиты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t>Метотрексат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показания:</w:t>
      </w:r>
    </w:p>
    <w:p w:rsidR="000236E2" w:rsidRDefault="000236E2" w:rsidP="000236E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лечение второй линии при </w:t>
      </w:r>
      <w:proofErr w:type="spellStart"/>
      <w:r>
        <w:rPr>
          <w:rFonts w:eastAsia="Times New Roman"/>
        </w:rPr>
        <w:t>рефрактерности</w:t>
      </w:r>
      <w:proofErr w:type="spellEnd"/>
      <w:r>
        <w:rPr>
          <w:rFonts w:eastAsia="Times New Roman"/>
        </w:rPr>
        <w:t xml:space="preserve"> к стероидам</w:t>
      </w:r>
    </w:p>
    <w:p w:rsidR="000236E2" w:rsidRDefault="000236E2" w:rsidP="000236E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лечение второй линии при побочных реакциях, вызванных стероидами</w:t>
      </w:r>
    </w:p>
    <w:p w:rsidR="000236E2" w:rsidRDefault="000236E2" w:rsidP="000236E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лечение второй линии как средство снижения дозы стероида</w:t>
      </w:r>
    </w:p>
    <w:p w:rsidR="000236E2" w:rsidRDefault="000236E2" w:rsidP="000236E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лечение первой линии как </w:t>
      </w:r>
      <w:proofErr w:type="spellStart"/>
      <w:r>
        <w:rPr>
          <w:rFonts w:eastAsia="Times New Roman"/>
        </w:rPr>
        <w:t>монотерапия</w:t>
      </w:r>
      <w:proofErr w:type="spellEnd"/>
      <w:r>
        <w:rPr>
          <w:rFonts w:eastAsia="Times New Roman"/>
        </w:rPr>
        <w:t xml:space="preserve"> или комбинированная со стероидами терапия.</w:t>
      </w:r>
    </w:p>
    <w:p w:rsidR="000236E2" w:rsidRDefault="000236E2" w:rsidP="000236E2">
      <w:pPr>
        <w:pStyle w:val="a4"/>
        <w:spacing w:line="276" w:lineRule="auto"/>
      </w:pPr>
      <w:r>
        <w:t xml:space="preserve">Прием внутрь в дозе 10–15 мг 1 раз в неделю. При </w:t>
      </w:r>
      <w:proofErr w:type="spellStart"/>
      <w:r>
        <w:t>нейро</w:t>
      </w:r>
      <w:proofErr w:type="spellEnd"/>
      <w:r>
        <w:t xml:space="preserve">- и </w:t>
      </w:r>
      <w:proofErr w:type="spellStart"/>
      <w:r>
        <w:t>кардиосаркоидозе</w:t>
      </w:r>
      <w:proofErr w:type="spellEnd"/>
      <w:r>
        <w:t xml:space="preserve"> до 25 мг в неделю. Во время лечения МТТ рекомендуют применение фолиевой кислоты в дозе 5 мг 1 раз в неделю или 1 мг ежедневно (как минимум через 24 часа после приема МТТ). Длительность терапии от 6 месяцев и более.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Иммунодепрессанты</w:t>
      </w:r>
    </w:p>
    <w:p w:rsidR="000236E2" w:rsidRDefault="000236E2" w:rsidP="000236E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Азатиоприн</w:t>
      </w:r>
      <w:proofErr w:type="spellEnd"/>
      <w:r>
        <w:rPr>
          <w:rFonts w:eastAsia="Times New Roman"/>
        </w:rPr>
        <w:t>. Применяется в качестве препарата второй линии в дозе 100–200 мг в сутки. Для достижения клинического эффекта лечение проводится не менее 6 месяцев.</w:t>
      </w:r>
    </w:p>
    <w:p w:rsidR="000236E2" w:rsidRDefault="000236E2" w:rsidP="000236E2">
      <w:pPr>
        <w:pStyle w:val="a4"/>
        <w:spacing w:line="276" w:lineRule="auto"/>
      </w:pPr>
      <w:r>
        <w:t> </w:t>
      </w:r>
      <w:proofErr w:type="spellStart"/>
      <w:r>
        <w:rPr>
          <w:rStyle w:val="a5"/>
        </w:rPr>
        <w:t>Лефлуномид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Препарат второй линии, применяется в дозе 10–20 мг в сутки, эффект наступает не ранее 3 месяцев от начала приема.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Микофенолата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мофетил</w:t>
      </w:r>
      <w:proofErr w:type="spellEnd"/>
    </w:p>
    <w:p w:rsidR="000236E2" w:rsidRDefault="000236E2" w:rsidP="000236E2">
      <w:pPr>
        <w:pStyle w:val="a4"/>
        <w:spacing w:line="276" w:lineRule="auto"/>
      </w:pPr>
      <w:r>
        <w:lastRenderedPageBreak/>
        <w:t>Назначают начиная с 500 мг два раза в день и затем увеличивают до 750–1000 мг 2 раза в день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Хлорохин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гидроксихлорохин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Ограниченно показаны только при хронических, рефрактерных к ГКС случаях, особенно при </w:t>
      </w:r>
      <w:proofErr w:type="spellStart"/>
      <w:r>
        <w:t>саркоидозе</w:t>
      </w:r>
      <w:proofErr w:type="spellEnd"/>
      <w:r>
        <w:t xml:space="preserve"> кожи, глаз и </w:t>
      </w:r>
      <w:proofErr w:type="spellStart"/>
      <w:r>
        <w:t>гиперкальциемии</w:t>
      </w:r>
      <w:proofErr w:type="spellEnd"/>
      <w:r>
        <w:t>.</w:t>
      </w:r>
    </w:p>
    <w:p w:rsidR="000236E2" w:rsidRDefault="000236E2" w:rsidP="000236E2">
      <w:pPr>
        <w:pStyle w:val="a4"/>
        <w:spacing w:line="276" w:lineRule="auto"/>
      </w:pPr>
      <w:r>
        <w:t xml:space="preserve">Лечение </w:t>
      </w:r>
      <w:proofErr w:type="spellStart"/>
      <w:r>
        <w:t>хлорохином</w:t>
      </w:r>
      <w:proofErr w:type="spellEnd"/>
      <w:r>
        <w:t xml:space="preserve"> начинают с 750 мг в сутки в течение 6 месяцев, затем дозу снижают до 250 мг в сутки.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t>Гидроксихлорохин</w:t>
      </w:r>
      <w:proofErr w:type="spellEnd"/>
      <w:r>
        <w:t xml:space="preserve"> начинают с дозы в 400 мг, которая может быть снижена до 200 мг в сутки. Курс лечения 6–12 месяцев. При подкожном </w:t>
      </w:r>
      <w:proofErr w:type="spellStart"/>
      <w:r>
        <w:t>саркоидозе</w:t>
      </w:r>
      <w:proofErr w:type="spellEnd"/>
      <w:r>
        <w:t xml:space="preserve"> </w:t>
      </w:r>
      <w:proofErr w:type="spellStart"/>
      <w:r>
        <w:t>гидроксихлорохин</w:t>
      </w:r>
      <w:proofErr w:type="spellEnd"/>
      <w:r>
        <w:t xml:space="preserve"> использовали в качестве начальной терапии, а при </w:t>
      </w:r>
      <w:proofErr w:type="spellStart"/>
      <w:r>
        <w:t>саркоидозе</w:t>
      </w:r>
      <w:proofErr w:type="spellEnd"/>
      <w:r>
        <w:t xml:space="preserve"> орбиты – в сочетании с ГКС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Ингибиторы фактора некроза опухоли альфа</w:t>
      </w:r>
    </w:p>
    <w:p w:rsidR="000236E2" w:rsidRDefault="000236E2" w:rsidP="000236E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Инфликсимаб</w:t>
      </w:r>
      <w:proofErr w:type="spellEnd"/>
      <w:r>
        <w:rPr>
          <w:rFonts w:eastAsia="Times New Roman"/>
        </w:rPr>
        <w:t xml:space="preserve"> имеет наибольшую доказательную базу в виде внутривенной </w:t>
      </w:r>
      <w:proofErr w:type="spellStart"/>
      <w:r>
        <w:rPr>
          <w:rFonts w:eastAsia="Times New Roman"/>
        </w:rPr>
        <w:t>инфузии</w:t>
      </w:r>
      <w:proofErr w:type="spellEnd"/>
      <w:r>
        <w:rPr>
          <w:rFonts w:eastAsia="Times New Roman"/>
        </w:rPr>
        <w:t xml:space="preserve">, которую начинают с 3–5 мг/кг, с нагрузочными дозами на 0-й, 2-й и 6-й неделе, после которых пациенты получают </w:t>
      </w:r>
      <w:proofErr w:type="spellStart"/>
      <w:r>
        <w:rPr>
          <w:rFonts w:eastAsia="Times New Roman"/>
        </w:rPr>
        <w:t>инфузию</w:t>
      </w:r>
      <w:proofErr w:type="spellEnd"/>
      <w:r>
        <w:rPr>
          <w:rFonts w:eastAsia="Times New Roman"/>
        </w:rPr>
        <w:t xml:space="preserve"> каждые 4–8 недель. Большинство экспертов рекомендуют интервал дозирования от 4 до 6 недель</w:t>
      </w:r>
    </w:p>
    <w:p w:rsidR="000236E2" w:rsidRDefault="000236E2" w:rsidP="000236E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Адалимумаб</w:t>
      </w:r>
      <w:proofErr w:type="spellEnd"/>
      <w:r>
        <w:rPr>
          <w:rFonts w:eastAsia="Times New Roman"/>
        </w:rPr>
        <w:t>. Доза 40 мг в неделю. 47 процентов экспертов предпочитают «период нагрузки» с 80–120 мг в первую неделю и вторую неделю (23,5% экспертов); более 70 процентов предпочитают поддерживающую дозу 40 мг в неделю</w:t>
      </w:r>
    </w:p>
    <w:p w:rsidR="000236E2" w:rsidRDefault="000236E2" w:rsidP="000236E2">
      <w:pPr>
        <w:pStyle w:val="a4"/>
        <w:spacing w:line="276" w:lineRule="auto"/>
      </w:pPr>
      <w:r>
        <w:t xml:space="preserve">считаются препаратами третьей линии при легочном </w:t>
      </w:r>
      <w:proofErr w:type="spellStart"/>
      <w:r>
        <w:t>саркоидозе</w:t>
      </w:r>
      <w:proofErr w:type="spellEnd"/>
      <w:r>
        <w:t>.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Пентоксифиллин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доза 1200–2000 мг в сутки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t>Пентоксифиллин</w:t>
      </w:r>
      <w:proofErr w:type="spellEnd"/>
      <w:r>
        <w:t xml:space="preserve"> может быть назначен при </w:t>
      </w:r>
      <w:proofErr w:type="spellStart"/>
      <w:r>
        <w:t>саркоидозе</w:t>
      </w:r>
      <w:proofErr w:type="spellEnd"/>
      <w:r>
        <w:t xml:space="preserve"> в дозе 600–1200 мкг в сутки как в виде стартовой, так и </w:t>
      </w:r>
      <w:proofErr w:type="spellStart"/>
      <w:r>
        <w:t>стероидзамещающей</w:t>
      </w:r>
      <w:proofErr w:type="spellEnd"/>
      <w:r>
        <w:t xml:space="preserve"> терапии.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Альфа-токоферол (витамин Е)</w:t>
      </w:r>
    </w:p>
    <w:p w:rsidR="000236E2" w:rsidRDefault="000236E2" w:rsidP="000236E2">
      <w:pPr>
        <w:pStyle w:val="a4"/>
        <w:spacing w:line="276" w:lineRule="auto"/>
      </w:pPr>
      <w:r>
        <w:t xml:space="preserve">Эмпирически подобранная доза витамина Е 200–400 мг в сутки показала себя эффективным и безопасным методом </w:t>
      </w:r>
      <w:proofErr w:type="gramStart"/>
      <w:r>
        <w:t>лечения</w:t>
      </w:r>
      <w:proofErr w:type="gramEnd"/>
      <w:r>
        <w:t xml:space="preserve"> вновь выявленного </w:t>
      </w:r>
      <w:proofErr w:type="spellStart"/>
      <w:r>
        <w:t>саркоидоза</w:t>
      </w:r>
      <w:proofErr w:type="spellEnd"/>
      <w:r>
        <w:t xml:space="preserve"> без выраженных признаков прогрессирования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Лечение не показано бессимптомным больным с </w:t>
      </w:r>
      <w:proofErr w:type="spellStart"/>
      <w:r>
        <w:rPr>
          <w:rStyle w:val="a5"/>
        </w:rPr>
        <w:t>саркоидозом</w:t>
      </w:r>
      <w:proofErr w:type="spellEnd"/>
      <w:r>
        <w:rPr>
          <w:rStyle w:val="a5"/>
        </w:rPr>
        <w:t xml:space="preserve"> II и III стадии при отсутствии или легких нарушениях функции дыхания и стабильном состоянии</w:t>
      </w:r>
    </w:p>
    <w:p w:rsidR="000236E2" w:rsidRDefault="000236E2" w:rsidP="000236E2">
      <w:pPr>
        <w:pStyle w:val="a4"/>
        <w:spacing w:line="276" w:lineRule="auto"/>
      </w:pPr>
      <w:r>
        <w:t xml:space="preserve">Альтернативой является применение альфа-токоферола 200 мкг 2 раза в сутки и/или </w:t>
      </w:r>
      <w:proofErr w:type="spellStart"/>
      <w:r>
        <w:t>пентоксифиллин</w:t>
      </w:r>
      <w:proofErr w:type="spellEnd"/>
      <w:r>
        <w:t xml:space="preserve"> в суточной дозе 300–1200 мкг не менее 6 месяцев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Пульс терапия ГКС</w:t>
      </w:r>
    </w:p>
    <w:p w:rsidR="000236E2" w:rsidRDefault="000236E2" w:rsidP="000236E2">
      <w:pPr>
        <w:pStyle w:val="a4"/>
        <w:spacing w:line="276" w:lineRule="auto"/>
      </w:pPr>
      <w:r>
        <w:lastRenderedPageBreak/>
        <w:t xml:space="preserve">Проводится в исключительных случаях (прогрессирование при </w:t>
      </w:r>
      <w:proofErr w:type="spellStart"/>
      <w:r>
        <w:t>полиорганном</w:t>
      </w:r>
      <w:proofErr w:type="spellEnd"/>
      <w:r>
        <w:t xml:space="preserve"> </w:t>
      </w:r>
      <w:proofErr w:type="spellStart"/>
      <w:r>
        <w:t>оражении</w:t>
      </w:r>
      <w:proofErr w:type="spellEnd"/>
      <w:r>
        <w:t xml:space="preserve">, </w:t>
      </w:r>
      <w:proofErr w:type="spellStart"/>
      <w:r>
        <w:t>рефрактерность</w:t>
      </w:r>
      <w:proofErr w:type="spellEnd"/>
      <w:r>
        <w:t xml:space="preserve"> к обычным дозам ГКС и/или другим препаратам) в дозе преднизолона 15 мг/кг массы тела внутривенно (800–1000–1200 мг на введение) – всего трехкратно ежедневно или через день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Бифосфонаты</w:t>
      </w:r>
      <w:proofErr w:type="spellEnd"/>
    </w:p>
    <w:p w:rsidR="000236E2" w:rsidRDefault="000236E2" w:rsidP="000236E2">
      <w:pPr>
        <w:pStyle w:val="a4"/>
        <w:spacing w:line="276" w:lineRule="auto"/>
      </w:pPr>
      <w:r>
        <w:t>Применяют если развивается индуцированный стероидами остеопороз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Ингаляционные </w:t>
      </w:r>
      <w:proofErr w:type="spellStart"/>
      <w:r>
        <w:rPr>
          <w:rStyle w:val="a5"/>
        </w:rPr>
        <w:t>глюкокортикостероиды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Сочетание ингаляционных ГКС и </w:t>
      </w:r>
      <w:proofErr w:type="spellStart"/>
      <w:r>
        <w:t>бронхолитиков</w:t>
      </w:r>
      <w:proofErr w:type="spellEnd"/>
      <w:r>
        <w:t xml:space="preserve"> применяют только при доказанном спирограммой </w:t>
      </w:r>
      <w:proofErr w:type="spellStart"/>
      <w:r>
        <w:t>бронхообструктивном</w:t>
      </w:r>
      <w:proofErr w:type="spellEnd"/>
      <w:r>
        <w:t xml:space="preserve"> синдроме.</w:t>
      </w:r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Беклометазона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дипропионат</w:t>
      </w:r>
      <w:proofErr w:type="spellEnd"/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Будесонид</w:t>
      </w:r>
      <w:proofErr w:type="spellEnd"/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Мометазон</w:t>
      </w:r>
      <w:proofErr w:type="spellEnd"/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Флутиказона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пропионат</w:t>
      </w:r>
      <w:proofErr w:type="spellEnd"/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Флутиказона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фуроат</w:t>
      </w:r>
      <w:proofErr w:type="spellEnd"/>
    </w:p>
    <w:p w:rsidR="000236E2" w:rsidRDefault="000236E2" w:rsidP="000236E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Циклесонид</w:t>
      </w:r>
      <w:proofErr w:type="spellEnd"/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Нестероидные противовоспалительные препараты</w:t>
      </w:r>
    </w:p>
    <w:p w:rsidR="000236E2" w:rsidRDefault="000236E2" w:rsidP="000236E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Индометацин</w:t>
      </w:r>
      <w:proofErr w:type="spellEnd"/>
    </w:p>
    <w:p w:rsidR="000236E2" w:rsidRDefault="000236E2" w:rsidP="000236E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Диклофенак</w:t>
      </w:r>
      <w:proofErr w:type="spellEnd"/>
    </w:p>
    <w:p w:rsidR="000236E2" w:rsidRDefault="000236E2" w:rsidP="000236E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Ибупрофен Н</w:t>
      </w:r>
    </w:p>
    <w:p w:rsidR="000236E2" w:rsidRDefault="000236E2" w:rsidP="000236E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Нимесулид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показаны только при острых формах </w:t>
      </w:r>
      <w:proofErr w:type="spellStart"/>
      <w:r>
        <w:t>саркоидоза</w:t>
      </w:r>
      <w:proofErr w:type="spellEnd"/>
      <w:r>
        <w:t xml:space="preserve"> и/или артритах, при выраженном болевом синдроме в качестве симптоматических средств. Длительность приема определяется симптомами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Ингаляционные ГКС</w:t>
      </w:r>
    </w:p>
    <w:p w:rsidR="000236E2" w:rsidRDefault="000236E2" w:rsidP="000236E2">
      <w:pPr>
        <w:pStyle w:val="a4"/>
        <w:spacing w:line="276" w:lineRule="auto"/>
      </w:pPr>
      <w:r>
        <w:t>Назначают пациентам с выраженным кашлем и бронхиальной гиперреактивностью</w:t>
      </w:r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Беклометазона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дипропионат</w:t>
      </w:r>
      <w:proofErr w:type="spellEnd"/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Будесонид</w:t>
      </w:r>
      <w:proofErr w:type="spellEnd"/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Мометазон</w:t>
      </w:r>
      <w:proofErr w:type="spellEnd"/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Флутиказона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пропионат</w:t>
      </w:r>
      <w:proofErr w:type="spellEnd"/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Флутиказона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фуроат</w:t>
      </w:r>
      <w:proofErr w:type="spellEnd"/>
    </w:p>
    <w:p w:rsidR="000236E2" w:rsidRDefault="000236E2" w:rsidP="000236E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Циклесонид</w:t>
      </w:r>
      <w:proofErr w:type="spellEnd"/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lastRenderedPageBreak/>
        <w:t>Эфферентные методы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Плазмаферез</w:t>
      </w:r>
      <w:proofErr w:type="spellEnd"/>
    </w:p>
    <w:p w:rsidR="000236E2" w:rsidRDefault="000236E2" w:rsidP="000236E2">
      <w:pPr>
        <w:pStyle w:val="a4"/>
        <w:spacing w:line="276" w:lineRule="auto"/>
      </w:pPr>
      <w:r>
        <w:t xml:space="preserve">Операция заключается в удалении из кровяного русла 500–1000 мл плазмы за один сеанс с замещением изотоническим раствором хлорида натрия 1:1. Цикл состоит из 3–4 </w:t>
      </w:r>
      <w:proofErr w:type="spellStart"/>
      <w:r>
        <w:t>плазмаферезов</w:t>
      </w:r>
      <w:proofErr w:type="spellEnd"/>
      <w:r>
        <w:t xml:space="preserve"> с недельным перерывом между процедурами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Экстракорпоральная модификации лимфоцитов крови (</w:t>
      </w:r>
      <w:proofErr w:type="spellStart"/>
      <w:r>
        <w:rPr>
          <w:rStyle w:val="a5"/>
        </w:rPr>
        <w:t>иммунофармакотерапия</w:t>
      </w:r>
      <w:proofErr w:type="spellEnd"/>
      <w:r>
        <w:rPr>
          <w:rStyle w:val="a5"/>
        </w:rPr>
        <w:t>)</w:t>
      </w:r>
    </w:p>
    <w:p w:rsidR="000236E2" w:rsidRDefault="000236E2" w:rsidP="000236E2">
      <w:pPr>
        <w:pStyle w:val="a4"/>
        <w:spacing w:line="276" w:lineRule="auto"/>
      </w:pPr>
      <w:r>
        <w:t>На курс проводится не менее 2 процедур с 10-дневным перерывом между ними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Кислород</w:t>
      </w:r>
    </w:p>
    <w:p w:rsidR="000236E2" w:rsidRDefault="000236E2" w:rsidP="000236E2">
      <w:pPr>
        <w:pStyle w:val="a4"/>
        <w:spacing w:line="276" w:lineRule="auto"/>
      </w:pPr>
      <w:r>
        <w:t xml:space="preserve">показано при хронической гипоксемии. В тяжелых случаях показана </w:t>
      </w:r>
      <w:proofErr w:type="spellStart"/>
      <w:r>
        <w:t>неинвазивная</w:t>
      </w:r>
      <w:proofErr w:type="spellEnd"/>
      <w:r>
        <w:t xml:space="preserve"> вентиляция легких.</w:t>
      </w:r>
    </w:p>
    <w:p w:rsidR="000236E2" w:rsidRDefault="000236E2" w:rsidP="000236E2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0236E2" w:rsidRDefault="000236E2" w:rsidP="000236E2">
      <w:pPr>
        <w:pStyle w:val="a4"/>
        <w:spacing w:line="276" w:lineRule="auto"/>
      </w:pPr>
      <w:proofErr w:type="spellStart"/>
      <w:r>
        <w:rPr>
          <w:rStyle w:val="a5"/>
        </w:rPr>
        <w:t>Трансплатация</w:t>
      </w:r>
      <w:proofErr w:type="spellEnd"/>
      <w:r>
        <w:rPr>
          <w:rStyle w:val="a5"/>
        </w:rPr>
        <w:t xml:space="preserve"> легких</w:t>
      </w:r>
    </w:p>
    <w:p w:rsidR="000236E2" w:rsidRDefault="000236E2" w:rsidP="000236E2">
      <w:pPr>
        <w:pStyle w:val="a4"/>
        <w:spacing w:line="276" w:lineRule="auto"/>
      </w:pPr>
      <w:r>
        <w:t xml:space="preserve">Проводится при терминальных стадиях внутригрудного </w:t>
      </w:r>
      <w:proofErr w:type="spellStart"/>
      <w:r>
        <w:t>саркоидоза</w:t>
      </w:r>
      <w:proofErr w:type="spellEnd"/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Трансплантация сердца при </w:t>
      </w:r>
      <w:proofErr w:type="spellStart"/>
      <w:r>
        <w:rPr>
          <w:rStyle w:val="a5"/>
        </w:rPr>
        <w:t>кардиосаркоидозе</w:t>
      </w:r>
      <w:proofErr w:type="spellEnd"/>
    </w:p>
    <w:p w:rsidR="000236E2" w:rsidRDefault="000236E2" w:rsidP="000236E2">
      <w:pPr>
        <w:pStyle w:val="2"/>
        <w:spacing w:line="276" w:lineRule="auto"/>
      </w:pPr>
      <w:r>
        <w:rPr>
          <w:rFonts w:eastAsia="Times New Roman"/>
        </w:rPr>
        <w:t>Диспансеризация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Впервые выявленные пациенты в первый год наблюдаются каждые 3 месяца, во 2-й год – каждые 6 месяцев, в последующие годы в случае стабилизации процесса – 1 раз в год.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>При наличии рецидивов режим наблюдения каждые 3 месяца в течение 2 лет, в последующие годы при стабилизации 1 раз в год.</w:t>
      </w:r>
    </w:p>
    <w:p w:rsidR="000236E2" w:rsidRDefault="000236E2" w:rsidP="000236E2">
      <w:pPr>
        <w:pStyle w:val="a4"/>
        <w:spacing w:line="276" w:lineRule="auto"/>
      </w:pPr>
      <w:r>
        <w:t>В случае прогрессирующего течения рекомендуется о – каждые 3 месяца в течение 2 лет, затем, при стабилизации процесса каждые 6 месяцев в течение 2 лет, затем 1 раз в год.</w:t>
      </w:r>
    </w:p>
    <w:p w:rsidR="000236E2" w:rsidRDefault="000236E2" w:rsidP="000236E2">
      <w:pPr>
        <w:pStyle w:val="a4"/>
        <w:spacing w:line="276" w:lineRule="auto"/>
      </w:pPr>
      <w:r>
        <w:rPr>
          <w:rStyle w:val="a5"/>
        </w:rPr>
        <w:t xml:space="preserve">Пациенты с </w:t>
      </w:r>
      <w:proofErr w:type="spellStart"/>
      <w:r>
        <w:rPr>
          <w:rStyle w:val="a5"/>
        </w:rPr>
        <w:t>саркоидозом</w:t>
      </w:r>
      <w:proofErr w:type="spellEnd"/>
      <w:r>
        <w:rPr>
          <w:rStyle w:val="a5"/>
        </w:rPr>
        <w:t xml:space="preserve"> подлежат медицинскому наблюдению пожизненно</w:t>
      </w:r>
    </w:p>
    <w:p w:rsidR="000236E2" w:rsidRDefault="000236E2" w:rsidP="000236E2">
      <w:pPr>
        <w:pStyle w:val="a4"/>
        <w:spacing w:line="276" w:lineRule="auto"/>
      </w:pPr>
      <w:r>
        <w:t> </w:t>
      </w:r>
    </w:p>
    <w:p w:rsidR="000236E2" w:rsidRDefault="000236E2" w:rsidP="000236E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C20161" w:rsidRDefault="00C20161">
      <w:bookmarkStart w:id="0" w:name="_GoBack"/>
      <w:bookmarkEnd w:id="0"/>
    </w:p>
    <w:sectPr w:rsidR="00C2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0C"/>
    <w:multiLevelType w:val="multilevel"/>
    <w:tmpl w:val="949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2631"/>
    <w:multiLevelType w:val="multilevel"/>
    <w:tmpl w:val="D04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0E1C"/>
    <w:multiLevelType w:val="multilevel"/>
    <w:tmpl w:val="F7C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3D69"/>
    <w:multiLevelType w:val="multilevel"/>
    <w:tmpl w:val="2EB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B6018"/>
    <w:multiLevelType w:val="multilevel"/>
    <w:tmpl w:val="680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F1C9F"/>
    <w:multiLevelType w:val="multilevel"/>
    <w:tmpl w:val="5E4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13DA3"/>
    <w:multiLevelType w:val="multilevel"/>
    <w:tmpl w:val="AA8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61A69"/>
    <w:multiLevelType w:val="multilevel"/>
    <w:tmpl w:val="DC4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D7925"/>
    <w:multiLevelType w:val="multilevel"/>
    <w:tmpl w:val="A6D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5157E"/>
    <w:multiLevelType w:val="multilevel"/>
    <w:tmpl w:val="778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365CA"/>
    <w:multiLevelType w:val="multilevel"/>
    <w:tmpl w:val="76CA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E5933"/>
    <w:multiLevelType w:val="multilevel"/>
    <w:tmpl w:val="961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2"/>
    <w:rsid w:val="000236E2"/>
    <w:rsid w:val="00C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4F08-A803-4FC3-ACBD-8E084600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3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0236E2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36E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6E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236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6E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23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2023-02-06T07:23:00Z</dcterms:created>
  <dcterms:modified xsi:type="dcterms:W3CDTF">2023-02-06T07:23:00Z</dcterms:modified>
</cp:coreProperties>
</file>