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C8" w:rsidRDefault="00B126C8" w:rsidP="00B126C8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ведения пациента с </w:t>
      </w:r>
      <w:proofErr w:type="spellStart"/>
      <w:r>
        <w:rPr>
          <w:rFonts w:eastAsia="Times New Roman"/>
        </w:rPr>
        <w:t>перитонзиллярным</w:t>
      </w:r>
      <w:proofErr w:type="spellEnd"/>
      <w:r>
        <w:rPr>
          <w:rFonts w:eastAsia="Times New Roman"/>
        </w:rPr>
        <w:t xml:space="preserve"> абсцессом</w:t>
      </w:r>
    </w:p>
    <w:p w:rsidR="00B126C8" w:rsidRDefault="00B126C8" w:rsidP="00B126C8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proofErr w:type="spellStart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"https://cr.minzdrav.gov.ru/recomend/664_1" \t "_self"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Паратонзиллярный</w:t>
      </w:r>
      <w:proofErr w:type="spellEnd"/>
      <w:r>
        <w:rPr>
          <w:rStyle w:val="a3"/>
          <w:rFonts w:eastAsia="Times New Roman"/>
        </w:rPr>
        <w:t xml:space="preserve"> абсцесс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». 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Разработано на основе «</w:t>
      </w:r>
      <w:proofErr w:type="spellStart"/>
      <w:r>
        <w:rPr>
          <w:rStyle w:val="a5"/>
        </w:rPr>
        <w:t>Паратонзиллярный</w:t>
      </w:r>
      <w:proofErr w:type="spellEnd"/>
      <w:r>
        <w:rPr>
          <w:rStyle w:val="a5"/>
        </w:rPr>
        <w:t xml:space="preserve"> абсцесс: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71"/>
        <w:gridCol w:w="6868"/>
      </w:tblGrid>
      <w:tr w:rsidR="00B126C8" w:rsidTr="00B12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6C8" w:rsidRDefault="00B126C8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6C8" w:rsidRDefault="00B126C8">
            <w:pPr>
              <w:pStyle w:val="a4"/>
            </w:pPr>
            <w:r>
              <w:t>Категория возрастная</w:t>
            </w:r>
          </w:p>
        </w:tc>
      </w:tr>
      <w:tr w:rsidR="00B126C8" w:rsidTr="00B12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6C8" w:rsidRDefault="00B126C8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6C8" w:rsidRDefault="00B126C8">
            <w:pPr>
              <w:pStyle w:val="a4"/>
            </w:pPr>
            <w:r>
              <w:t>врач-</w:t>
            </w:r>
            <w:proofErr w:type="spellStart"/>
            <w:r>
              <w:t>оториноларинголог</w:t>
            </w:r>
            <w:proofErr w:type="spellEnd"/>
            <w:r>
              <w:t>, врач-терапевт, врач-педиатр, врач-физиотерапевт</w:t>
            </w:r>
          </w:p>
        </w:tc>
      </w:tr>
    </w:tbl>
    <w:p w:rsidR="00B126C8" w:rsidRDefault="00B126C8" w:rsidP="00B126C8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B126C8" w:rsidRDefault="00B126C8" w:rsidP="00B126C8">
      <w:pPr>
        <w:pStyle w:val="3"/>
        <w:spacing w:line="276" w:lineRule="auto"/>
      </w:pPr>
      <w:r>
        <w:rPr>
          <w:rFonts w:eastAsia="Times New Roman"/>
        </w:rPr>
        <w:t>Осмотр врачами-специалистами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Осмотр врача-</w:t>
      </w:r>
      <w:proofErr w:type="spellStart"/>
      <w:r>
        <w:rPr>
          <w:rStyle w:val="a5"/>
        </w:rPr>
        <w:t>оториноларинголога</w:t>
      </w:r>
      <w:proofErr w:type="spellEnd"/>
      <w:r>
        <w:rPr>
          <w:rStyle w:val="a5"/>
        </w:rPr>
        <w:t xml:space="preserve"> первичный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 xml:space="preserve">Сбор анамнеза и </w:t>
      </w:r>
      <w:proofErr w:type="spellStart"/>
      <w:r>
        <w:rPr>
          <w:rStyle w:val="a5"/>
        </w:rPr>
        <w:t>жалоб</w:t>
      </w:r>
      <w:r>
        <w:t>Фарингеальные</w:t>
      </w:r>
      <w:proofErr w:type="spellEnd"/>
      <w:r>
        <w:t xml:space="preserve"> жалобы:</w:t>
      </w:r>
    </w:p>
    <w:p w:rsidR="00B126C8" w:rsidRDefault="00B126C8" w:rsidP="00B126C8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боль в горле различной интенсивности, чаще резкой, односторонней, усиливающейся при глотании с возможной иррадиацией в ухо, зубы на соответствующей стороне</w:t>
      </w:r>
    </w:p>
    <w:p w:rsidR="00B126C8" w:rsidRDefault="00B126C8" w:rsidP="00B126C8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тризм жевательной мускулатуры</w:t>
      </w:r>
    </w:p>
    <w:p w:rsidR="00B126C8" w:rsidRDefault="00B126C8" w:rsidP="00B126C8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ощущение инородного в области горла</w:t>
      </w:r>
    </w:p>
    <w:p w:rsidR="00B126C8" w:rsidRDefault="00B126C8" w:rsidP="00B126C8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гнусавость</w:t>
      </w:r>
    </w:p>
    <w:p w:rsidR="00B126C8" w:rsidRDefault="00B126C8" w:rsidP="00B126C8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неприятный запах изо рта</w:t>
      </w:r>
    </w:p>
    <w:p w:rsidR="00B126C8" w:rsidRDefault="00B126C8" w:rsidP="00B126C8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боль в шее при поворотах головы</w:t>
      </w:r>
    </w:p>
    <w:p w:rsidR="00B126C8" w:rsidRDefault="00B126C8" w:rsidP="00B126C8">
      <w:pPr>
        <w:pStyle w:val="a4"/>
        <w:spacing w:line="276" w:lineRule="auto"/>
      </w:pPr>
      <w:r>
        <w:t>жалобы системного характера:</w:t>
      </w:r>
    </w:p>
    <w:p w:rsidR="00B126C8" w:rsidRDefault="00B126C8" w:rsidP="00B126C8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длительное недомогание, общая слабость, разбитость</w:t>
      </w:r>
    </w:p>
    <w:p w:rsidR="00B126C8" w:rsidRDefault="00B126C8" w:rsidP="00B126C8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снижение работоспособности</w:t>
      </w:r>
    </w:p>
    <w:p w:rsidR="00B126C8" w:rsidRDefault="00B126C8" w:rsidP="00B126C8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фебрильная лихорадка</w:t>
      </w:r>
    </w:p>
    <w:p w:rsidR="00B126C8" w:rsidRDefault="00B126C8" w:rsidP="00B126C8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головная боль</w:t>
      </w:r>
    </w:p>
    <w:p w:rsidR="00B126C8" w:rsidRDefault="00B126C8" w:rsidP="00B126C8">
      <w:pPr>
        <w:pStyle w:val="a4"/>
        <w:spacing w:line="276" w:lineRule="auto"/>
      </w:pPr>
      <w:proofErr w:type="spellStart"/>
      <w:r>
        <w:rPr>
          <w:rStyle w:val="a5"/>
        </w:rPr>
        <w:t>Физикальное</w:t>
      </w:r>
      <w:proofErr w:type="spellEnd"/>
      <w:r>
        <w:rPr>
          <w:rStyle w:val="a5"/>
        </w:rPr>
        <w:t xml:space="preserve"> обследование</w:t>
      </w:r>
    </w:p>
    <w:p w:rsidR="00B126C8" w:rsidRDefault="00B126C8" w:rsidP="00B126C8">
      <w:pPr>
        <w:pStyle w:val="a4"/>
        <w:spacing w:line="276" w:lineRule="auto"/>
      </w:pPr>
      <w:r>
        <w:t xml:space="preserve">Местные признаки </w:t>
      </w:r>
      <w:proofErr w:type="spellStart"/>
      <w:r>
        <w:t>паратонзиллярного</w:t>
      </w:r>
      <w:proofErr w:type="spellEnd"/>
      <w:r>
        <w:t xml:space="preserve"> абсцесса:</w:t>
      </w:r>
    </w:p>
    <w:p w:rsidR="00B126C8" w:rsidRDefault="00B126C8" w:rsidP="00B126C8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яркая гиперемия, отек и воспалительная инфильтрация слизистой оболочки нёбных дужек, небных миндалин, мягкого неба т язычка, задней стенки глотки;</w:t>
      </w:r>
    </w:p>
    <w:p w:rsidR="00B126C8" w:rsidRDefault="00B126C8" w:rsidP="00B126C8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асимметрия мягкого неба, медиальное смещение одной из миндалин;</w:t>
      </w:r>
    </w:p>
    <w:p w:rsidR="00B126C8" w:rsidRDefault="00B126C8" w:rsidP="00B126C8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ограничение открывания рта;</w:t>
      </w:r>
    </w:p>
    <w:p w:rsidR="00B126C8" w:rsidRDefault="00B126C8" w:rsidP="00B126C8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регионарный лимфаденит (в зависимости от локализации возможно увеличение, уплотнение, болезненность при пальпации поднижнечелюстных, </w:t>
      </w:r>
      <w:proofErr w:type="spellStart"/>
      <w:r>
        <w:rPr>
          <w:rFonts w:eastAsia="Times New Roman"/>
        </w:rPr>
        <w:t>задненижнечелюстных</w:t>
      </w:r>
      <w:proofErr w:type="spellEnd"/>
      <w:r>
        <w:rPr>
          <w:rFonts w:eastAsia="Times New Roman"/>
        </w:rPr>
        <w:t>, передних и задних шейных лимфатических узлов</w:t>
      </w:r>
    </w:p>
    <w:p w:rsidR="00B126C8" w:rsidRDefault="00B126C8" w:rsidP="00B126C8">
      <w:pPr>
        <w:pStyle w:val="3"/>
        <w:spacing w:line="276" w:lineRule="auto"/>
      </w:pPr>
      <w:r>
        <w:rPr>
          <w:rFonts w:eastAsia="Times New Roman"/>
        </w:rPr>
        <w:t>Лабораторные методы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Определение концентрации С-реактивного белка в сыворотке крови</w:t>
      </w:r>
    </w:p>
    <w:p w:rsidR="00B126C8" w:rsidRDefault="00B126C8" w:rsidP="00B126C8">
      <w:pPr>
        <w:pStyle w:val="a4"/>
        <w:spacing w:line="276" w:lineRule="auto"/>
      </w:pPr>
      <w:r>
        <w:t xml:space="preserve">Всем пациентам с подозрением на </w:t>
      </w:r>
      <w:proofErr w:type="spellStart"/>
      <w:r>
        <w:t>паратонзиллярный</w:t>
      </w:r>
      <w:proofErr w:type="spellEnd"/>
      <w:r>
        <w:t xml:space="preserve"> абсцесс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>) исследование слизи и пленок с миндалин на палочку дифтерии (</w:t>
      </w:r>
      <w:proofErr w:type="spellStart"/>
      <w:r>
        <w:rPr>
          <w:rStyle w:val="a5"/>
        </w:rPr>
        <w:t>Corinebacterium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diphtheriae</w:t>
      </w:r>
      <w:proofErr w:type="spellEnd"/>
      <w:r>
        <w:rPr>
          <w:rStyle w:val="a5"/>
        </w:rPr>
        <w:t>)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B126C8" w:rsidRDefault="00B126C8" w:rsidP="00B126C8">
      <w:pPr>
        <w:pStyle w:val="a4"/>
        <w:spacing w:line="276" w:lineRule="auto"/>
      </w:pPr>
      <w:r>
        <w:t xml:space="preserve">Всем пациентам с подозрением на </w:t>
      </w:r>
      <w:proofErr w:type="spellStart"/>
      <w:r>
        <w:t>паратонзиллярный</w:t>
      </w:r>
      <w:proofErr w:type="spellEnd"/>
      <w:r>
        <w:t xml:space="preserve"> абсцесс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Анализ мочи общий</w:t>
      </w:r>
    </w:p>
    <w:p w:rsidR="00B126C8" w:rsidRDefault="00B126C8" w:rsidP="00B126C8">
      <w:pPr>
        <w:pStyle w:val="a4"/>
        <w:spacing w:line="276" w:lineRule="auto"/>
      </w:pPr>
      <w:r>
        <w:t xml:space="preserve">Всем пациентам с подозрением на </w:t>
      </w:r>
      <w:proofErr w:type="spellStart"/>
      <w:r>
        <w:t>паратонзиллярный</w:t>
      </w:r>
      <w:proofErr w:type="spellEnd"/>
      <w:r>
        <w:t xml:space="preserve"> абсцесс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Определение чувствительности микроорганизмов к антимикробным химиотерапевтическим препаратам</w:t>
      </w:r>
    </w:p>
    <w:p w:rsidR="00B126C8" w:rsidRDefault="00B126C8" w:rsidP="00B126C8">
      <w:pPr>
        <w:pStyle w:val="3"/>
        <w:spacing w:line="276" w:lineRule="auto"/>
      </w:pPr>
      <w:r>
        <w:rPr>
          <w:rFonts w:eastAsia="Times New Roman"/>
        </w:rPr>
        <w:t>Инструментальные методы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Фарингоскопия</w:t>
      </w:r>
    </w:p>
    <w:p w:rsidR="00B126C8" w:rsidRDefault="00B126C8" w:rsidP="00B126C8">
      <w:pPr>
        <w:pStyle w:val="a4"/>
        <w:spacing w:line="276" w:lineRule="auto"/>
      </w:pPr>
      <w:r>
        <w:t xml:space="preserve">Всем детям и взрослым с целью выявления </w:t>
      </w:r>
      <w:proofErr w:type="spellStart"/>
      <w:r>
        <w:t>паратонзиллярного</w:t>
      </w:r>
      <w:proofErr w:type="spellEnd"/>
      <w:r>
        <w:t xml:space="preserve"> абсцесса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Ларингоскопия</w:t>
      </w:r>
    </w:p>
    <w:p w:rsidR="00B126C8" w:rsidRDefault="00B126C8" w:rsidP="00B126C8">
      <w:pPr>
        <w:pStyle w:val="a4"/>
        <w:spacing w:line="276" w:lineRule="auto"/>
      </w:pPr>
      <w:r>
        <w:t>При подозрении на распространение воспалительного процесса в гортаноглотку</w:t>
      </w:r>
    </w:p>
    <w:p w:rsidR="00B126C8" w:rsidRDefault="00B126C8" w:rsidP="00B126C8">
      <w:pPr>
        <w:pStyle w:val="a4"/>
        <w:spacing w:line="276" w:lineRule="auto"/>
      </w:pPr>
      <w:proofErr w:type="spellStart"/>
      <w:r>
        <w:rPr>
          <w:rStyle w:val="a5"/>
        </w:rPr>
        <w:t>Фиброларингоскопия</w:t>
      </w:r>
      <w:proofErr w:type="spellEnd"/>
    </w:p>
    <w:p w:rsidR="00B126C8" w:rsidRDefault="00B126C8" w:rsidP="00B126C8">
      <w:pPr>
        <w:pStyle w:val="a4"/>
        <w:spacing w:line="276" w:lineRule="auto"/>
      </w:pPr>
      <w:r>
        <w:t>При подозрении на распространение воспалительного процесса в гортаноглотку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Компьютерная томография верхних дыхательных путей и шеи</w:t>
      </w:r>
    </w:p>
    <w:p w:rsidR="00B126C8" w:rsidRDefault="00B126C8" w:rsidP="00B126C8">
      <w:pPr>
        <w:pStyle w:val="a4"/>
        <w:spacing w:line="276" w:lineRule="auto"/>
      </w:pPr>
      <w:r>
        <w:t>Для уточнения диагноза, объективизации локализации абсцесса и состояния регионарных лимфатических узлов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lastRenderedPageBreak/>
        <w:t>Ультразвуковое исследование мягких тканей (одна анатомическая зона)</w:t>
      </w:r>
    </w:p>
    <w:p w:rsidR="00B126C8" w:rsidRDefault="00B126C8" w:rsidP="00B126C8">
      <w:pPr>
        <w:pStyle w:val="a4"/>
        <w:spacing w:line="276" w:lineRule="auto"/>
      </w:pPr>
      <w:r>
        <w:t>Для уточнения диагноза, объективизации локализации абсцесса и состояния регионарных лимфатических узлов</w:t>
      </w:r>
    </w:p>
    <w:p w:rsidR="00B126C8" w:rsidRDefault="00B126C8" w:rsidP="00B126C8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B126C8" w:rsidRDefault="00B126C8" w:rsidP="00B126C8">
      <w:pPr>
        <w:pStyle w:val="3"/>
        <w:spacing w:line="276" w:lineRule="auto"/>
      </w:pPr>
      <w:r>
        <w:rPr>
          <w:rFonts w:eastAsia="Times New Roman"/>
        </w:rPr>
        <w:t>Наблюдение врачами-специалистами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Ежедневный осмотр врачом-</w:t>
      </w:r>
      <w:proofErr w:type="spellStart"/>
      <w:r>
        <w:rPr>
          <w:rStyle w:val="a5"/>
        </w:rPr>
        <w:t>оториноларингологом</w:t>
      </w:r>
      <w:proofErr w:type="spellEnd"/>
      <w:r>
        <w:rPr>
          <w:rStyle w:val="a5"/>
        </w:rPr>
        <w:t xml:space="preserve"> с наблюдением и уходом среднего и младшего медицинского персонала в отделении стационара</w:t>
      </w:r>
    </w:p>
    <w:p w:rsidR="00B126C8" w:rsidRDefault="00B126C8" w:rsidP="00B126C8">
      <w:pPr>
        <w:pStyle w:val="3"/>
        <w:spacing w:line="276" w:lineRule="auto"/>
      </w:pPr>
      <w:r>
        <w:rPr>
          <w:rFonts w:eastAsia="Times New Roman"/>
        </w:rPr>
        <w:t>Лабораторные методы контроля за лечением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>) исследование гнойного отделяемого на аэробные и факультативно-анаэробные микроорганизмы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 xml:space="preserve">) исследование абсцессов на </w:t>
      </w:r>
      <w:proofErr w:type="spellStart"/>
      <w:r>
        <w:rPr>
          <w:rStyle w:val="a5"/>
        </w:rPr>
        <w:t>неспорообразующие</w:t>
      </w:r>
      <w:proofErr w:type="spellEnd"/>
      <w:r>
        <w:rPr>
          <w:rStyle w:val="a5"/>
        </w:rPr>
        <w:t xml:space="preserve"> анаэробные микроорганизмы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Определение чувствительности микроорганизмов к антимикробным химиотерапевтическим препаратам</w:t>
      </w:r>
    </w:p>
    <w:p w:rsidR="00B126C8" w:rsidRDefault="00B126C8" w:rsidP="00B126C8">
      <w:pPr>
        <w:pStyle w:val="3"/>
        <w:spacing w:line="276" w:lineRule="auto"/>
      </w:pPr>
      <w:r>
        <w:rPr>
          <w:rFonts w:eastAsia="Times New Roman"/>
        </w:rPr>
        <w:t>Немедикаментозные методы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Вскрытие и дренирование флегмоны (абсцесса)</w:t>
      </w:r>
    </w:p>
    <w:p w:rsidR="00B126C8" w:rsidRDefault="00B126C8" w:rsidP="00B126C8">
      <w:pPr>
        <w:pStyle w:val="a4"/>
        <w:spacing w:line="276" w:lineRule="auto"/>
      </w:pPr>
      <w:proofErr w:type="spellStart"/>
      <w:r>
        <w:rPr>
          <w:rStyle w:val="a5"/>
        </w:rPr>
        <w:t>Тонзиллэктомия</w:t>
      </w:r>
      <w:proofErr w:type="spellEnd"/>
    </w:p>
    <w:p w:rsidR="00B126C8" w:rsidRDefault="00B126C8" w:rsidP="00B126C8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наличии частых ангин в анамнезе</w:t>
      </w:r>
    </w:p>
    <w:p w:rsidR="00B126C8" w:rsidRDefault="00B126C8" w:rsidP="00B126C8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при повторном развитии паратонзиллита или </w:t>
      </w:r>
      <w:proofErr w:type="spellStart"/>
      <w:r>
        <w:rPr>
          <w:rFonts w:eastAsia="Times New Roman"/>
        </w:rPr>
        <w:t>паратонзиллярного</w:t>
      </w:r>
      <w:proofErr w:type="spellEnd"/>
      <w:r>
        <w:rPr>
          <w:rFonts w:eastAsia="Times New Roman"/>
        </w:rPr>
        <w:t xml:space="preserve"> абсцесса</w:t>
      </w:r>
    </w:p>
    <w:p w:rsidR="00B126C8" w:rsidRDefault="00B126C8" w:rsidP="00B126C8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затяжное течение</w:t>
      </w:r>
    </w:p>
    <w:p w:rsidR="00B126C8" w:rsidRDefault="00B126C8" w:rsidP="00B126C8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 случае неадекватного дренирования вскрытого абсцесса</w:t>
      </w:r>
    </w:p>
    <w:p w:rsidR="00B126C8" w:rsidRDefault="00B126C8" w:rsidP="00B126C8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возникновении кровотечения вследствие выполнения вскрытия абсцесса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 xml:space="preserve">Вскрытие </w:t>
      </w:r>
      <w:proofErr w:type="spellStart"/>
      <w:r>
        <w:rPr>
          <w:rStyle w:val="a5"/>
        </w:rPr>
        <w:t>паратонзиллярного</w:t>
      </w:r>
      <w:proofErr w:type="spellEnd"/>
      <w:r>
        <w:rPr>
          <w:rStyle w:val="a5"/>
        </w:rPr>
        <w:t xml:space="preserve"> абсцесса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 xml:space="preserve">Гипербарическая </w:t>
      </w:r>
      <w:proofErr w:type="spellStart"/>
      <w:r>
        <w:rPr>
          <w:rStyle w:val="a5"/>
        </w:rPr>
        <w:t>оксигенация</w:t>
      </w:r>
      <w:proofErr w:type="spellEnd"/>
    </w:p>
    <w:p w:rsidR="00B126C8" w:rsidRDefault="00B126C8" w:rsidP="00B126C8">
      <w:pPr>
        <w:pStyle w:val="a4"/>
        <w:spacing w:line="276" w:lineRule="auto"/>
      </w:pPr>
      <w:r>
        <w:t>Для повышения резистентности организма у пациентов с ПА после выполнения хирургического вмешательства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Ультрафиолетовое облучение</w:t>
      </w:r>
    </w:p>
    <w:p w:rsidR="00B126C8" w:rsidRDefault="00B126C8" w:rsidP="00B126C8">
      <w:pPr>
        <w:pStyle w:val="a4"/>
        <w:spacing w:line="276" w:lineRule="auto"/>
      </w:pPr>
      <w:r>
        <w:lastRenderedPageBreak/>
        <w:t>Для повышения резистентности организма у пациентов с ПА после выполнения хирургического вмешательства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Фокусное ультрафиолетовое облучение на область регионарных лимфатических узлов</w:t>
      </w:r>
    </w:p>
    <w:p w:rsidR="00B126C8" w:rsidRDefault="00B126C8" w:rsidP="00B126C8">
      <w:pPr>
        <w:pStyle w:val="a4"/>
        <w:spacing w:line="276" w:lineRule="auto"/>
      </w:pPr>
      <w:r>
        <w:t>Для повышения общей резистентности организма больных ПА после выполнения хирургического вмешательства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Воздействие электромагнитным излучением сантиметрового диапазона (СМВ-терапия)</w:t>
      </w:r>
    </w:p>
    <w:p w:rsidR="00B126C8" w:rsidRDefault="00B126C8" w:rsidP="00B126C8">
      <w:pPr>
        <w:pStyle w:val="a4"/>
        <w:spacing w:line="276" w:lineRule="auto"/>
      </w:pPr>
      <w:r>
        <w:t>Для повышения общей резистентности организма больных ПА после выполнения хирургического вмешательства</w:t>
      </w:r>
    </w:p>
    <w:p w:rsidR="00B126C8" w:rsidRDefault="00B126C8" w:rsidP="00B126C8">
      <w:pPr>
        <w:pStyle w:val="a4"/>
        <w:spacing w:line="276" w:lineRule="auto"/>
      </w:pPr>
      <w:proofErr w:type="spellStart"/>
      <w:r>
        <w:rPr>
          <w:rStyle w:val="a5"/>
        </w:rPr>
        <w:t>Магнитофорез</w:t>
      </w:r>
      <w:proofErr w:type="spellEnd"/>
    </w:p>
    <w:p w:rsidR="00B126C8" w:rsidRDefault="00B126C8" w:rsidP="00B126C8">
      <w:pPr>
        <w:pStyle w:val="a4"/>
        <w:spacing w:line="276" w:lineRule="auto"/>
      </w:pPr>
      <w:r>
        <w:t>Для повышения общей резистентности организма больных ПА после выполнения хирургического вмешательства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 xml:space="preserve">Низкоинтенсивная лазерная терапия </w:t>
      </w:r>
      <w:proofErr w:type="spellStart"/>
      <w:r>
        <w:rPr>
          <w:rStyle w:val="a5"/>
        </w:rPr>
        <w:t>интраларингеальная</w:t>
      </w:r>
      <w:proofErr w:type="spellEnd"/>
    </w:p>
    <w:p w:rsidR="00B126C8" w:rsidRDefault="00B126C8" w:rsidP="00B126C8">
      <w:pPr>
        <w:pStyle w:val="a4"/>
        <w:spacing w:line="276" w:lineRule="auto"/>
      </w:pPr>
      <w:r>
        <w:t>Для повышения общей резистентности организма больных ПА после выполнения хирургического вмешательства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Воздействие электрическим полем ультравысокой частоты (ЭП УВЧ)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Воздействие инфракрасным излучением</w:t>
      </w:r>
    </w:p>
    <w:p w:rsidR="00B126C8" w:rsidRDefault="00B126C8" w:rsidP="00B126C8">
      <w:pPr>
        <w:pStyle w:val="3"/>
        <w:spacing w:line="276" w:lineRule="auto"/>
      </w:pPr>
      <w:r>
        <w:rPr>
          <w:rFonts w:eastAsia="Times New Roman"/>
        </w:rPr>
        <w:t>Лекарственные препараты, допустимые к применению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Противомикробные препараты и антисептики для местного лечения заболеваний полости рта</w:t>
      </w:r>
    </w:p>
    <w:p w:rsidR="00B126C8" w:rsidRDefault="00B126C8" w:rsidP="00B126C8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Гексэтидин</w:t>
      </w:r>
      <w:proofErr w:type="spellEnd"/>
      <w:r>
        <w:rPr>
          <w:rFonts w:eastAsia="Times New Roman"/>
        </w:rPr>
        <w:t xml:space="preserve"> (ССД 6 мл; СКД 42 мл)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Другие препараты для местного лечения заболеваний полости рта</w:t>
      </w:r>
    </w:p>
    <w:p w:rsidR="00B126C8" w:rsidRDefault="00B126C8" w:rsidP="00B126C8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Бензидамин</w:t>
      </w:r>
      <w:proofErr w:type="spellEnd"/>
      <w:r>
        <w:rPr>
          <w:rFonts w:eastAsia="Times New Roman"/>
        </w:rPr>
        <w:t xml:space="preserve"> (ССД 6375 мкг; СКД 44625 мкг) – при развитии абсцесса на фоне </w:t>
      </w:r>
      <w:proofErr w:type="spellStart"/>
      <w:r>
        <w:rPr>
          <w:rFonts w:eastAsia="Times New Roman"/>
        </w:rPr>
        <w:t>тонзилло-фаригиальной</w:t>
      </w:r>
      <w:proofErr w:type="spellEnd"/>
      <w:r>
        <w:rPr>
          <w:rFonts w:eastAsia="Times New Roman"/>
        </w:rPr>
        <w:t xml:space="preserve"> патологии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Кровезаменители и препараты плазмы крови</w:t>
      </w:r>
    </w:p>
    <w:p w:rsidR="00B126C8" w:rsidRDefault="00B126C8" w:rsidP="00B126C8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Декстран [ср. мол. масса 30000-40000] (ССД 50 г; СКД 150 г)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Солевые растворы</w:t>
      </w:r>
    </w:p>
    <w:p w:rsidR="00B126C8" w:rsidRDefault="00B126C8" w:rsidP="00B126C8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Натрия хлорид (ССД 1 л; СКД 3 л)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lastRenderedPageBreak/>
        <w:t>Растворы для парентерального питания</w:t>
      </w:r>
    </w:p>
    <w:p w:rsidR="00B126C8" w:rsidRDefault="00B126C8" w:rsidP="00B126C8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Декстроза (ССД 50 г; СКД 150 г)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Комбинации пенициллинов, включая комбинации с ингибиторами бета-</w:t>
      </w:r>
      <w:proofErr w:type="spellStart"/>
      <w:r>
        <w:rPr>
          <w:rStyle w:val="a5"/>
        </w:rPr>
        <w:t>лактамаз</w:t>
      </w:r>
      <w:proofErr w:type="spellEnd"/>
    </w:p>
    <w:p w:rsidR="00B126C8" w:rsidRDefault="00B126C8" w:rsidP="00B126C8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Амоксициллин + [</w:t>
      </w:r>
      <w:proofErr w:type="spellStart"/>
      <w:r>
        <w:rPr>
          <w:rFonts w:eastAsia="Times New Roman"/>
        </w:rPr>
        <w:t>Клавулановая</w:t>
      </w:r>
      <w:proofErr w:type="spellEnd"/>
      <w:r>
        <w:rPr>
          <w:rFonts w:eastAsia="Times New Roman"/>
        </w:rPr>
        <w:t xml:space="preserve"> кислота] (ССД 1750+250 мг; СКД 17500+2500 мг)</w:t>
      </w:r>
    </w:p>
    <w:p w:rsidR="00B126C8" w:rsidRDefault="00B126C8" w:rsidP="00B126C8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Амоксициллин + </w:t>
      </w:r>
      <w:proofErr w:type="spellStart"/>
      <w:r>
        <w:rPr>
          <w:rFonts w:eastAsia="Times New Roman"/>
        </w:rPr>
        <w:t>Сульбактам</w:t>
      </w:r>
      <w:proofErr w:type="spellEnd"/>
      <w:r>
        <w:rPr>
          <w:rFonts w:eastAsia="Times New Roman"/>
        </w:rPr>
        <w:t xml:space="preserve"> (1 г 2-3 раза в сутки для пациентов 12 лет и старше)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Цефалоспорины 3-го поколения</w:t>
      </w:r>
    </w:p>
    <w:p w:rsidR="00B126C8" w:rsidRDefault="00B126C8" w:rsidP="00B126C8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Цефтриаксон</w:t>
      </w:r>
      <w:proofErr w:type="spellEnd"/>
      <w:r>
        <w:rPr>
          <w:rFonts w:eastAsia="Times New Roman"/>
        </w:rPr>
        <w:t xml:space="preserve"> (ССД 2 г; СКД 20 г)</w:t>
      </w:r>
    </w:p>
    <w:p w:rsidR="00B126C8" w:rsidRDefault="00B126C8" w:rsidP="00B126C8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Цефотаксим</w:t>
      </w:r>
      <w:proofErr w:type="spellEnd"/>
      <w:r>
        <w:rPr>
          <w:rFonts w:eastAsia="Times New Roman"/>
        </w:rPr>
        <w:t xml:space="preserve"> (ССД 2 г; СКД 20 г)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 xml:space="preserve">Производные </w:t>
      </w:r>
      <w:proofErr w:type="spellStart"/>
      <w:r>
        <w:rPr>
          <w:rStyle w:val="a5"/>
        </w:rPr>
        <w:t>пропионовой</w:t>
      </w:r>
      <w:proofErr w:type="spellEnd"/>
      <w:r>
        <w:rPr>
          <w:rStyle w:val="a5"/>
        </w:rPr>
        <w:t xml:space="preserve"> кислоты</w:t>
      </w:r>
    </w:p>
    <w:p w:rsidR="00B126C8" w:rsidRDefault="00B126C8" w:rsidP="00B126C8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Ибупрофен (ССД 1200 мг; СКД 3600 мг)</w:t>
      </w:r>
    </w:p>
    <w:p w:rsidR="00B126C8" w:rsidRDefault="00B126C8" w:rsidP="00B126C8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Кетопрофен</w:t>
      </w:r>
      <w:proofErr w:type="spellEnd"/>
      <w:r>
        <w:rPr>
          <w:rFonts w:eastAsia="Times New Roman"/>
        </w:rPr>
        <w:t xml:space="preserve"> (ССД 160 мг; СКД 480 мг)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Другие препараты для лечения заболеваний глотки</w:t>
      </w:r>
    </w:p>
    <w:p w:rsidR="00B126C8" w:rsidRDefault="00B126C8" w:rsidP="00B126C8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Флурбипрофен</w:t>
      </w:r>
      <w:proofErr w:type="spellEnd"/>
      <w:r>
        <w:rPr>
          <w:rFonts w:eastAsia="Times New Roman"/>
        </w:rPr>
        <w:t xml:space="preserve"> (ССД 43750 мкг; СКД 131250 мкг)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Антисептические препараты</w:t>
      </w:r>
    </w:p>
    <w:p w:rsidR="00B126C8" w:rsidRDefault="00B126C8" w:rsidP="00B126C8">
      <w:pPr>
        <w:numPr>
          <w:ilvl w:val="0"/>
          <w:numId w:val="1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Лизоцим+Пиридоксин</w:t>
      </w:r>
      <w:proofErr w:type="spellEnd"/>
      <w:r>
        <w:rPr>
          <w:rFonts w:eastAsia="Times New Roman"/>
        </w:rPr>
        <w:t xml:space="preserve"> (ССД 120+60 мг; СКД 960+480 мг)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Другие антигистаминные средства системного действия</w:t>
      </w:r>
    </w:p>
    <w:p w:rsidR="00B126C8" w:rsidRDefault="00B126C8" w:rsidP="00B126C8">
      <w:pPr>
        <w:pStyle w:val="a4"/>
        <w:spacing w:line="276" w:lineRule="auto"/>
      </w:pPr>
      <w:proofErr w:type="spellStart"/>
      <w:r>
        <w:rPr>
          <w:rStyle w:val="a5"/>
        </w:rPr>
        <w:t>Линкозамиды</w:t>
      </w:r>
      <w:proofErr w:type="spellEnd"/>
    </w:p>
    <w:p w:rsidR="00B126C8" w:rsidRDefault="00B126C8" w:rsidP="00B126C8">
      <w:pPr>
        <w:numPr>
          <w:ilvl w:val="0"/>
          <w:numId w:val="15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Клиндамицин</w:t>
      </w:r>
      <w:proofErr w:type="spellEnd"/>
      <w:r>
        <w:rPr>
          <w:rFonts w:eastAsia="Times New Roman"/>
        </w:rPr>
        <w:t xml:space="preserve"> (300 мг 2р/</w:t>
      </w:r>
      <w:proofErr w:type="spellStart"/>
      <w:r>
        <w:rPr>
          <w:rFonts w:eastAsia="Times New Roman"/>
        </w:rPr>
        <w:t>сут</w:t>
      </w:r>
      <w:proofErr w:type="spellEnd"/>
      <w:r>
        <w:rPr>
          <w:rFonts w:eastAsia="Times New Roman"/>
        </w:rPr>
        <w:t>; при тяжелом течении — до 1,2-4,8 г/</w:t>
      </w:r>
      <w:proofErr w:type="spellStart"/>
      <w:r>
        <w:rPr>
          <w:rFonts w:eastAsia="Times New Roman"/>
        </w:rPr>
        <w:t>сут</w:t>
      </w:r>
      <w:proofErr w:type="spellEnd"/>
      <w:r>
        <w:rPr>
          <w:rFonts w:eastAsia="Times New Roman"/>
        </w:rPr>
        <w:t xml:space="preserve"> (разделенные на 2-4 равные дозы), детям 10-40 мг/кг/</w:t>
      </w:r>
      <w:proofErr w:type="spellStart"/>
      <w:r>
        <w:rPr>
          <w:rFonts w:eastAsia="Times New Roman"/>
        </w:rPr>
        <w:t>сут</w:t>
      </w:r>
      <w:proofErr w:type="spellEnd"/>
      <w:r>
        <w:rPr>
          <w:rFonts w:eastAsia="Times New Roman"/>
        </w:rPr>
        <w:t xml:space="preserve"> (разделенные на 3-4 равные </w:t>
      </w:r>
      <w:proofErr w:type="gramStart"/>
      <w:r>
        <w:rPr>
          <w:rFonts w:eastAsia="Times New Roman"/>
        </w:rPr>
        <w:t>дозы )</w:t>
      </w:r>
      <w:proofErr w:type="gramEnd"/>
    </w:p>
    <w:p w:rsidR="00B126C8" w:rsidRDefault="00B126C8" w:rsidP="00B126C8">
      <w:pPr>
        <w:pStyle w:val="3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Профилактика и диспансерное наблюдение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Устранении факторов риска</w:t>
      </w:r>
    </w:p>
    <w:p w:rsidR="00B126C8" w:rsidRDefault="00B126C8" w:rsidP="00B126C8">
      <w:pPr>
        <w:pStyle w:val="a4"/>
        <w:spacing w:line="276" w:lineRule="auto"/>
      </w:pPr>
      <w:proofErr w:type="spellStart"/>
      <w:r>
        <w:rPr>
          <w:rStyle w:val="a5"/>
        </w:rPr>
        <w:t>Закаливаниее</w:t>
      </w:r>
      <w:proofErr w:type="spellEnd"/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Санитарно-просветительской работа</w:t>
      </w:r>
    </w:p>
    <w:p w:rsidR="00B126C8" w:rsidRDefault="00B126C8" w:rsidP="00B126C8">
      <w:pPr>
        <w:pStyle w:val="a4"/>
        <w:spacing w:line="276" w:lineRule="auto"/>
      </w:pPr>
      <w:r>
        <w:rPr>
          <w:rStyle w:val="a5"/>
        </w:rPr>
        <w:t>Своевременное лечение заболеваний зубов и десен</w:t>
      </w:r>
    </w:p>
    <w:p w:rsidR="00B126C8" w:rsidRDefault="00B126C8" w:rsidP="00B126C8">
      <w:pPr>
        <w:pStyle w:val="a4"/>
        <w:spacing w:line="276" w:lineRule="auto"/>
      </w:pPr>
      <w:r>
        <w:t> </w:t>
      </w:r>
    </w:p>
    <w:p w:rsidR="00B126C8" w:rsidRDefault="00B126C8" w:rsidP="00B126C8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07.02.2023</w:t>
      </w:r>
    </w:p>
    <w:p w:rsidR="0094307A" w:rsidRDefault="0094307A">
      <w:bookmarkStart w:id="0" w:name="_GoBack"/>
      <w:bookmarkEnd w:id="0"/>
    </w:p>
    <w:sectPr w:rsidR="0094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8BD"/>
    <w:multiLevelType w:val="multilevel"/>
    <w:tmpl w:val="79AC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C357B"/>
    <w:multiLevelType w:val="multilevel"/>
    <w:tmpl w:val="DD50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B2923"/>
    <w:multiLevelType w:val="multilevel"/>
    <w:tmpl w:val="D18E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670CD"/>
    <w:multiLevelType w:val="multilevel"/>
    <w:tmpl w:val="4ED4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26289"/>
    <w:multiLevelType w:val="multilevel"/>
    <w:tmpl w:val="CD6A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1458D"/>
    <w:multiLevelType w:val="multilevel"/>
    <w:tmpl w:val="E530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C6671"/>
    <w:multiLevelType w:val="multilevel"/>
    <w:tmpl w:val="936C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D37A9"/>
    <w:multiLevelType w:val="multilevel"/>
    <w:tmpl w:val="0C48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56F0B"/>
    <w:multiLevelType w:val="multilevel"/>
    <w:tmpl w:val="AA3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595C4E"/>
    <w:multiLevelType w:val="multilevel"/>
    <w:tmpl w:val="D82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A22DF"/>
    <w:multiLevelType w:val="multilevel"/>
    <w:tmpl w:val="05BE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A07CE"/>
    <w:multiLevelType w:val="multilevel"/>
    <w:tmpl w:val="2FAC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4E656D"/>
    <w:multiLevelType w:val="multilevel"/>
    <w:tmpl w:val="B19C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930533"/>
    <w:multiLevelType w:val="multilevel"/>
    <w:tmpl w:val="42FC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2E1A48"/>
    <w:multiLevelType w:val="multilevel"/>
    <w:tmpl w:val="E226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C8"/>
    <w:rsid w:val="0094307A"/>
    <w:rsid w:val="00B1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3A2AF-C2D0-4991-AA87-2AF3453B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126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B126C8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126C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26C8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126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26C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12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2023-02-07T04:12:00Z</dcterms:created>
  <dcterms:modified xsi:type="dcterms:W3CDTF">2023-02-07T04:12:00Z</dcterms:modified>
</cp:coreProperties>
</file>