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88" w:rsidRDefault="00655888" w:rsidP="00655888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пациента с острым средним отитом</w:t>
      </w:r>
    </w:p>
    <w:p w:rsidR="00655888" w:rsidRDefault="00655888" w:rsidP="00655888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Отит средний острый</w:t>
        </w:r>
      </w:hyperlink>
      <w:r>
        <w:rPr>
          <w:rFonts w:eastAsia="Times New Roman"/>
        </w:rPr>
        <w:t xml:space="preserve">». 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Разработано на основе «Отит средний острый: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58"/>
        <w:gridCol w:w="6381"/>
      </w:tblGrid>
      <w:tr w:rsidR="00655888" w:rsidTr="00655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888" w:rsidRDefault="00655888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888" w:rsidRDefault="00655888">
            <w:pPr>
              <w:pStyle w:val="a4"/>
            </w:pPr>
            <w:r>
              <w:t>дети, взрослые</w:t>
            </w:r>
          </w:p>
        </w:tc>
      </w:tr>
      <w:tr w:rsidR="00655888" w:rsidTr="00655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888" w:rsidRDefault="00655888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888" w:rsidRDefault="00655888">
            <w:pPr>
              <w:pStyle w:val="a4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>, врач-педиатр, врач-терапевт</w:t>
            </w:r>
          </w:p>
        </w:tc>
      </w:tr>
    </w:tbl>
    <w:p w:rsidR="00655888" w:rsidRDefault="00655888" w:rsidP="00655888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655888" w:rsidRDefault="00655888" w:rsidP="00655888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первичный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Сбор анамнеза и жалоб</w:t>
      </w:r>
    </w:p>
    <w:p w:rsidR="00655888" w:rsidRDefault="00655888" w:rsidP="0065588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боль в ухе</w:t>
      </w:r>
    </w:p>
    <w:p w:rsidR="00655888" w:rsidRDefault="00655888" w:rsidP="0065588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лихорадка</w:t>
      </w:r>
    </w:p>
    <w:p w:rsidR="00655888" w:rsidRDefault="00655888" w:rsidP="0065588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гноетечение из уха</w:t>
      </w:r>
    </w:p>
    <w:p w:rsidR="00655888" w:rsidRDefault="00655888" w:rsidP="0065588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снижение слуха</w:t>
      </w:r>
    </w:p>
    <w:p w:rsidR="00655888" w:rsidRDefault="00655888" w:rsidP="0065588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ощущение заложенности в ухе</w:t>
      </w:r>
    </w:p>
    <w:p w:rsidR="00655888" w:rsidRDefault="00655888" w:rsidP="0065588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аутофонию</w:t>
      </w:r>
      <w:proofErr w:type="spellEnd"/>
    </w:p>
    <w:p w:rsidR="00655888" w:rsidRDefault="00655888" w:rsidP="00655888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шум в ухе</w:t>
      </w:r>
    </w:p>
    <w:p w:rsidR="00655888" w:rsidRDefault="00655888" w:rsidP="00655888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655888" w:rsidRDefault="00655888" w:rsidP="00655888">
      <w:pPr>
        <w:pStyle w:val="a4"/>
        <w:spacing w:line="276" w:lineRule="auto"/>
      </w:pPr>
      <w:r>
        <w:t>Стандартный оториноларингологический осмотр</w:t>
      </w:r>
    </w:p>
    <w:p w:rsidR="00655888" w:rsidRDefault="00655888" w:rsidP="00655888">
      <w:pPr>
        <w:pStyle w:val="3"/>
        <w:spacing w:line="276" w:lineRule="auto"/>
      </w:pPr>
      <w:r>
        <w:rPr>
          <w:rFonts w:eastAsia="Times New Roman"/>
        </w:rPr>
        <w:t>Лабораторные методы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Общий (клинический) анализ крови</w:t>
      </w:r>
    </w:p>
    <w:p w:rsidR="00655888" w:rsidRDefault="00655888" w:rsidP="00655888">
      <w:pPr>
        <w:pStyle w:val="a4"/>
        <w:spacing w:line="276" w:lineRule="auto"/>
      </w:pPr>
      <w:r>
        <w:t xml:space="preserve">Всем пациентам с целью оценки уровня лейкоцитоза, а </w:t>
      </w:r>
      <w:proofErr w:type="gramStart"/>
      <w:r>
        <w:t>так же</w:t>
      </w:r>
      <w:proofErr w:type="gramEnd"/>
      <w:r>
        <w:t xml:space="preserve"> изменений других показателей, характерных для некоторых вероятных сопутствующих заболеваний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прокальцитонина</w:t>
      </w:r>
      <w:proofErr w:type="spellEnd"/>
      <w:r>
        <w:rPr>
          <w:rStyle w:val="a5"/>
        </w:rPr>
        <w:t xml:space="preserve"> в крови</w:t>
      </w:r>
    </w:p>
    <w:p w:rsidR="00655888" w:rsidRDefault="00655888" w:rsidP="00655888">
      <w:pPr>
        <w:pStyle w:val="a4"/>
        <w:spacing w:line="276" w:lineRule="auto"/>
      </w:pPr>
      <w:r>
        <w:t>При подозрении на тяжёлое течение заболевания или в сложных диагностических случаях с целью подтверждения бактериальной этиологии заболевания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lastRenderedPageBreak/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гнойного отделяемого на аэробные и факультативно-анаэробные микроорганизмы</w:t>
      </w:r>
    </w:p>
    <w:p w:rsidR="00655888" w:rsidRDefault="00655888" w:rsidP="00655888">
      <w:pPr>
        <w:pStyle w:val="a4"/>
        <w:spacing w:line="276" w:lineRule="auto"/>
      </w:pPr>
      <w:r>
        <w:t xml:space="preserve">Пациентам с тяжелым и рецидивирующим течении при проведении </w:t>
      </w:r>
      <w:proofErr w:type="spellStart"/>
      <w:r>
        <w:t>парацентеза</w:t>
      </w:r>
      <w:proofErr w:type="spellEnd"/>
      <w:r>
        <w:t xml:space="preserve"> или наличии отделяемого из барабанной полости для установления этиологии заболевания и, при необходимости, коррекции антибактериальной терапии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антимикробным химиотерапевтическим препаратам</w:t>
      </w:r>
    </w:p>
    <w:p w:rsidR="00655888" w:rsidRDefault="00655888" w:rsidP="00655888">
      <w:pPr>
        <w:pStyle w:val="a4"/>
        <w:spacing w:line="276" w:lineRule="auto"/>
      </w:pPr>
      <w:r>
        <w:t xml:space="preserve">Пациентам с тяжелым и рецидивирующим течении при проведении </w:t>
      </w:r>
      <w:proofErr w:type="spellStart"/>
      <w:r>
        <w:t>парацентеза</w:t>
      </w:r>
      <w:proofErr w:type="spellEnd"/>
      <w:r>
        <w:t xml:space="preserve"> или наличии отделяемого из барабанной полости для установления этиологии заболевания и, при необходимости, коррекции антибактериальной терапии</w:t>
      </w:r>
    </w:p>
    <w:p w:rsidR="00655888" w:rsidRDefault="00655888" w:rsidP="00655888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Отоскопия</w:t>
      </w:r>
    </w:p>
    <w:p w:rsidR="00655888" w:rsidRDefault="00655888" w:rsidP="00655888">
      <w:pPr>
        <w:pStyle w:val="a4"/>
        <w:spacing w:line="276" w:lineRule="auto"/>
      </w:pPr>
      <w:r>
        <w:t>Для определения податливости барабанной перепонки</w:t>
      </w:r>
    </w:p>
    <w:p w:rsidR="00655888" w:rsidRDefault="00655888" w:rsidP="00655888">
      <w:pPr>
        <w:pStyle w:val="a4"/>
        <w:spacing w:line="276" w:lineRule="auto"/>
      </w:pPr>
      <w:proofErr w:type="spellStart"/>
      <w:r>
        <w:rPr>
          <w:rStyle w:val="a5"/>
        </w:rPr>
        <w:t>Тимпанометрия</w:t>
      </w:r>
      <w:proofErr w:type="spellEnd"/>
    </w:p>
    <w:p w:rsidR="00655888" w:rsidRDefault="00655888" w:rsidP="00655888">
      <w:pPr>
        <w:pStyle w:val="a4"/>
        <w:spacing w:line="276" w:lineRule="auto"/>
      </w:pPr>
      <w:r>
        <w:t>При отсутствии возможности проведения пневматической отоскопии с целью определения податливости барабанной перепонки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Компьютерная томография височной кости</w:t>
      </w:r>
    </w:p>
    <w:p w:rsidR="00655888" w:rsidRDefault="00655888" w:rsidP="00655888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случаях затяжного течения заболевания (более 10 дней)</w:t>
      </w:r>
    </w:p>
    <w:p w:rsidR="00655888" w:rsidRDefault="00655888" w:rsidP="00655888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выраженной стойкой отрицательной динамике</w:t>
      </w:r>
    </w:p>
    <w:p w:rsidR="00655888" w:rsidRDefault="00655888" w:rsidP="00655888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мастоидит и внутричерепные осложнения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 xml:space="preserve">Рентгенография височной кости (о </w:t>
      </w:r>
      <w:proofErr w:type="spellStart"/>
      <w:r>
        <w:rPr>
          <w:rStyle w:val="a5"/>
        </w:rPr>
        <w:t>Шюллеру</w:t>
      </w:r>
      <w:proofErr w:type="spellEnd"/>
      <w:r>
        <w:rPr>
          <w:rStyle w:val="a5"/>
        </w:rPr>
        <w:t xml:space="preserve"> и Майеру)</w:t>
      </w:r>
    </w:p>
    <w:p w:rsidR="00655888" w:rsidRDefault="00655888" w:rsidP="00655888">
      <w:pPr>
        <w:pStyle w:val="a4"/>
        <w:spacing w:line="276" w:lineRule="auto"/>
      </w:pPr>
      <w:r>
        <w:t>При отсутствии возможности проведения компьютерной томографии височных костей</w:t>
      </w:r>
    </w:p>
    <w:p w:rsidR="00655888" w:rsidRDefault="00655888" w:rsidP="00655888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655888" w:rsidRDefault="00655888" w:rsidP="00655888">
      <w:pPr>
        <w:pStyle w:val="3"/>
        <w:spacing w:line="276" w:lineRule="auto"/>
      </w:pPr>
      <w:r>
        <w:rPr>
          <w:rFonts w:eastAsia="Times New Roman"/>
        </w:rPr>
        <w:t>Медикаментозная терапия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Нестероидные противовоспалительные препараты</w:t>
      </w:r>
    </w:p>
    <w:p w:rsidR="00655888" w:rsidRDefault="00655888" w:rsidP="0065588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Ибупрофен (детям в возрасте до 6 лет)</w:t>
      </w:r>
    </w:p>
    <w:p w:rsidR="00655888" w:rsidRDefault="00655888" w:rsidP="0065588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Ацетилсалициловая кислота</w:t>
      </w:r>
    </w:p>
    <w:p w:rsidR="00655888" w:rsidRDefault="00655888" w:rsidP="0065588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Производные </w:t>
      </w:r>
      <w:proofErr w:type="spellStart"/>
      <w:r>
        <w:rPr>
          <w:rFonts w:eastAsia="Times New Roman"/>
        </w:rPr>
        <w:t>пропионовой</w:t>
      </w:r>
      <w:proofErr w:type="spellEnd"/>
      <w:r>
        <w:rPr>
          <w:rFonts w:eastAsia="Times New Roman"/>
        </w:rPr>
        <w:t xml:space="preserve"> кислоты</w:t>
      </w:r>
    </w:p>
    <w:p w:rsidR="00655888" w:rsidRDefault="00655888" w:rsidP="0065588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Анилиды</w:t>
      </w:r>
      <w:proofErr w:type="spellEnd"/>
    </w:p>
    <w:p w:rsidR="00655888" w:rsidRDefault="00655888" w:rsidP="0065588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Фенаматы</w:t>
      </w:r>
      <w:proofErr w:type="spellEnd"/>
    </w:p>
    <w:p w:rsidR="00655888" w:rsidRDefault="00655888" w:rsidP="0065588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Пиразолоны</w:t>
      </w:r>
    </w:p>
    <w:p w:rsidR="00655888" w:rsidRDefault="00655888" w:rsidP="0065588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Производные уксусной кислоты</w:t>
      </w:r>
    </w:p>
    <w:p w:rsidR="00655888" w:rsidRDefault="00655888" w:rsidP="00655888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Оксикамы</w:t>
      </w:r>
      <w:proofErr w:type="spellEnd"/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Анальгезирующее ненаркотическое средство</w:t>
      </w:r>
    </w:p>
    <w:p w:rsidR="00655888" w:rsidRDefault="00655888" w:rsidP="00655888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Парацетамол (детям в возрасте до 6 лет)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Местная анальгезирующая терапия</w:t>
      </w:r>
    </w:p>
    <w:p w:rsidR="00655888" w:rsidRDefault="00655888" w:rsidP="00655888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Лидокаин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Феназон</w:t>
      </w:r>
      <w:proofErr w:type="spellEnd"/>
      <w:r>
        <w:rPr>
          <w:rFonts w:eastAsia="Times New Roman"/>
        </w:rPr>
        <w:t xml:space="preserve"> (местная анальгезирующая терапия)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Антибиотик, пенициллин полусинтетический</w:t>
      </w:r>
    </w:p>
    <w:p w:rsidR="00655888" w:rsidRDefault="00655888" w:rsidP="00655888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Амоксициллин (препарат выбора)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Пенициллины в комбинациях</w:t>
      </w:r>
    </w:p>
    <w:p w:rsidR="00655888" w:rsidRDefault="00655888" w:rsidP="00655888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Амоксициллин + [</w:t>
      </w:r>
      <w:proofErr w:type="spellStart"/>
      <w:r>
        <w:rPr>
          <w:rFonts w:eastAsia="Times New Roman"/>
        </w:rPr>
        <w:t>Клавулановая</w:t>
      </w:r>
      <w:proofErr w:type="spellEnd"/>
      <w:r>
        <w:rPr>
          <w:rFonts w:eastAsia="Times New Roman"/>
        </w:rPr>
        <w:t xml:space="preserve"> кислота] (препарат выбора)</w:t>
      </w:r>
    </w:p>
    <w:p w:rsidR="00655888" w:rsidRDefault="00655888" w:rsidP="00655888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Ампициллин + [</w:t>
      </w:r>
      <w:proofErr w:type="spellStart"/>
      <w:r>
        <w:rPr>
          <w:rFonts w:eastAsia="Times New Roman"/>
        </w:rPr>
        <w:t>Сульбактам</w:t>
      </w:r>
      <w:proofErr w:type="spellEnd"/>
      <w:r>
        <w:rPr>
          <w:rFonts w:eastAsia="Times New Roman"/>
        </w:rPr>
        <w:t>] (препарат выбора)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Цефалоспорины</w:t>
      </w:r>
    </w:p>
    <w:p w:rsidR="00655888" w:rsidRDefault="00655888" w:rsidP="00655888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Цефтриаксон</w:t>
      </w:r>
      <w:proofErr w:type="spellEnd"/>
      <w:r>
        <w:rPr>
          <w:rFonts w:eastAsia="Times New Roman"/>
        </w:rPr>
        <w:t xml:space="preserve"> (препарат выбора)</w:t>
      </w:r>
    </w:p>
    <w:p w:rsidR="00655888" w:rsidRDefault="00655888" w:rsidP="00655888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Цефуроксим</w:t>
      </w:r>
      <w:proofErr w:type="spellEnd"/>
      <w:r>
        <w:rPr>
          <w:rFonts w:eastAsia="Times New Roman"/>
        </w:rPr>
        <w:t xml:space="preserve"> (при аллергии на пенициллины)</w:t>
      </w:r>
    </w:p>
    <w:p w:rsidR="00655888" w:rsidRDefault="00655888" w:rsidP="00655888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Цефиксим</w:t>
      </w:r>
      <w:proofErr w:type="spellEnd"/>
      <w:r>
        <w:rPr>
          <w:rFonts w:eastAsia="Times New Roman"/>
        </w:rPr>
        <w:t xml:space="preserve"> (при аллергии на пенициллины)</w:t>
      </w:r>
    </w:p>
    <w:p w:rsidR="00655888" w:rsidRDefault="00655888" w:rsidP="00655888">
      <w:pPr>
        <w:pStyle w:val="a4"/>
        <w:spacing w:line="276" w:lineRule="auto"/>
      </w:pPr>
      <w:proofErr w:type="spellStart"/>
      <w:r>
        <w:rPr>
          <w:rStyle w:val="a5"/>
        </w:rPr>
        <w:t>Макролиды</w:t>
      </w:r>
      <w:proofErr w:type="spellEnd"/>
      <w:r>
        <w:rPr>
          <w:rStyle w:val="a5"/>
        </w:rPr>
        <w:t xml:space="preserve"> и </w:t>
      </w:r>
      <w:proofErr w:type="spellStart"/>
      <w:r>
        <w:rPr>
          <w:rStyle w:val="a5"/>
        </w:rPr>
        <w:t>азалиды</w:t>
      </w:r>
      <w:proofErr w:type="spellEnd"/>
    </w:p>
    <w:p w:rsidR="00655888" w:rsidRDefault="00655888" w:rsidP="00655888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Кларитромицин</w:t>
      </w:r>
      <w:proofErr w:type="spellEnd"/>
      <w:r>
        <w:rPr>
          <w:rFonts w:eastAsia="Times New Roman"/>
        </w:rPr>
        <w:t xml:space="preserve"> (при аллергии на пенициллины и цефалоспорины)</w:t>
      </w:r>
    </w:p>
    <w:p w:rsidR="00655888" w:rsidRDefault="00655888" w:rsidP="00655888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Джозамицин</w:t>
      </w:r>
      <w:proofErr w:type="spellEnd"/>
      <w:r>
        <w:rPr>
          <w:rFonts w:eastAsia="Times New Roman"/>
        </w:rPr>
        <w:t xml:space="preserve"> (при аллергии на пенициллины и цефалоспорины)</w:t>
      </w:r>
    </w:p>
    <w:p w:rsidR="00655888" w:rsidRDefault="00655888" w:rsidP="00655888">
      <w:pPr>
        <w:pStyle w:val="a4"/>
        <w:spacing w:line="276" w:lineRule="auto"/>
      </w:pPr>
      <w:proofErr w:type="spellStart"/>
      <w:r>
        <w:rPr>
          <w:rStyle w:val="a5"/>
        </w:rPr>
        <w:t>Ансамицины</w:t>
      </w:r>
      <w:proofErr w:type="spellEnd"/>
    </w:p>
    <w:p w:rsidR="00655888" w:rsidRDefault="00655888" w:rsidP="00655888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Рифамицин</w:t>
      </w:r>
      <w:proofErr w:type="spellEnd"/>
      <w:r>
        <w:rPr>
          <w:rFonts w:eastAsia="Times New Roman"/>
        </w:rPr>
        <w:t xml:space="preserve"> (в качестве ушных капель при перфорации барабанной перепонки </w:t>
      </w:r>
      <w:proofErr w:type="gramStart"/>
      <w:r>
        <w:rPr>
          <w:rFonts w:eastAsia="Times New Roman"/>
        </w:rPr>
        <w:t>и )</w:t>
      </w:r>
      <w:proofErr w:type="gramEnd"/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Альфа-</w:t>
      </w:r>
      <w:proofErr w:type="spellStart"/>
      <w:r>
        <w:rPr>
          <w:rStyle w:val="a5"/>
        </w:rPr>
        <w:t>адреномиметики</w:t>
      </w:r>
      <w:proofErr w:type="spellEnd"/>
    </w:p>
    <w:p w:rsidR="00655888" w:rsidRDefault="00655888" w:rsidP="00655888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Нафазолин</w:t>
      </w:r>
      <w:proofErr w:type="spellEnd"/>
    </w:p>
    <w:p w:rsidR="00655888" w:rsidRDefault="00655888" w:rsidP="00655888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Фенилэфрин</w:t>
      </w:r>
      <w:proofErr w:type="spellEnd"/>
    </w:p>
    <w:p w:rsidR="00655888" w:rsidRDefault="00655888" w:rsidP="00655888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Оксиметазолин</w:t>
      </w:r>
      <w:proofErr w:type="spellEnd"/>
    </w:p>
    <w:p w:rsidR="00655888" w:rsidRDefault="00655888" w:rsidP="00655888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Ксилометазолин</w:t>
      </w:r>
      <w:proofErr w:type="spellEnd"/>
    </w:p>
    <w:p w:rsidR="00655888" w:rsidRDefault="00655888" w:rsidP="00655888">
      <w:pPr>
        <w:pStyle w:val="a4"/>
        <w:spacing w:line="276" w:lineRule="auto"/>
      </w:pPr>
      <w:proofErr w:type="spellStart"/>
      <w:r>
        <w:rPr>
          <w:rStyle w:val="a5"/>
        </w:rPr>
        <w:lastRenderedPageBreak/>
        <w:t>Антиконгестанты</w:t>
      </w:r>
      <w:proofErr w:type="spellEnd"/>
    </w:p>
    <w:p w:rsidR="00655888" w:rsidRDefault="00655888" w:rsidP="00655888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Морская вода (для </w:t>
      </w:r>
      <w:proofErr w:type="spellStart"/>
      <w:r>
        <w:rPr>
          <w:rFonts w:eastAsia="Times New Roman"/>
        </w:rPr>
        <w:t>элиминационно</w:t>
      </w:r>
      <w:proofErr w:type="spellEnd"/>
      <w:r>
        <w:rPr>
          <w:rFonts w:eastAsia="Times New Roman"/>
        </w:rPr>
        <w:t>-ирригационной терапии)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 xml:space="preserve">Отхаркивающее </w:t>
      </w:r>
      <w:proofErr w:type="spellStart"/>
      <w:r>
        <w:rPr>
          <w:rStyle w:val="a5"/>
        </w:rPr>
        <w:t>муколитическое</w:t>
      </w:r>
      <w:proofErr w:type="spellEnd"/>
      <w:r>
        <w:rPr>
          <w:rStyle w:val="a5"/>
        </w:rPr>
        <w:t xml:space="preserve"> средство</w:t>
      </w:r>
    </w:p>
    <w:p w:rsidR="00655888" w:rsidRDefault="00655888" w:rsidP="00655888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Ацетилцистеин</w:t>
      </w:r>
      <w:proofErr w:type="spellEnd"/>
      <w:r>
        <w:rPr>
          <w:rFonts w:eastAsia="Times New Roman"/>
        </w:rPr>
        <w:t xml:space="preserve"> (компонент разгрузочной терапии для улучшения </w:t>
      </w:r>
      <w:proofErr w:type="spellStart"/>
      <w:r>
        <w:rPr>
          <w:rFonts w:eastAsia="Times New Roman"/>
        </w:rPr>
        <w:t>мукоцилиарного</w:t>
      </w:r>
      <w:proofErr w:type="spellEnd"/>
      <w:r>
        <w:rPr>
          <w:rFonts w:eastAsia="Times New Roman"/>
        </w:rPr>
        <w:t xml:space="preserve"> транспорта)</w:t>
      </w:r>
    </w:p>
    <w:p w:rsidR="00655888" w:rsidRDefault="00655888" w:rsidP="00655888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Карбоцистеин</w:t>
      </w:r>
      <w:proofErr w:type="spellEnd"/>
      <w:r>
        <w:rPr>
          <w:rFonts w:eastAsia="Times New Roman"/>
        </w:rPr>
        <w:t xml:space="preserve"> (компонент разгрузочной терапии для улучшения </w:t>
      </w:r>
      <w:proofErr w:type="spellStart"/>
      <w:r>
        <w:rPr>
          <w:rFonts w:eastAsia="Times New Roman"/>
        </w:rPr>
        <w:t>мукоцилиарного</w:t>
      </w:r>
      <w:proofErr w:type="spellEnd"/>
      <w:r>
        <w:rPr>
          <w:rFonts w:eastAsia="Times New Roman"/>
        </w:rPr>
        <w:t xml:space="preserve"> транспорта)</w:t>
      </w:r>
    </w:p>
    <w:p w:rsidR="00655888" w:rsidRDefault="00655888" w:rsidP="00655888">
      <w:pPr>
        <w:pStyle w:val="3"/>
        <w:spacing w:line="276" w:lineRule="auto"/>
      </w:pPr>
      <w:r>
        <w:rPr>
          <w:rFonts w:eastAsia="Times New Roman"/>
        </w:rPr>
        <w:t>Немедикаментозные методы</w:t>
      </w:r>
    </w:p>
    <w:p w:rsidR="00655888" w:rsidRDefault="00655888" w:rsidP="00655888">
      <w:pPr>
        <w:pStyle w:val="a4"/>
        <w:spacing w:line="276" w:lineRule="auto"/>
      </w:pPr>
      <w:proofErr w:type="spellStart"/>
      <w:r>
        <w:rPr>
          <w:rStyle w:val="a5"/>
        </w:rPr>
        <w:t>Миринготомия</w:t>
      </w:r>
      <w:proofErr w:type="spellEnd"/>
    </w:p>
    <w:p w:rsidR="00655888" w:rsidRDefault="00655888" w:rsidP="00655888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выраженной клинической симптоматике и отоскопической картине</w:t>
      </w:r>
    </w:p>
    <w:p w:rsidR="00655888" w:rsidRDefault="00655888" w:rsidP="00655888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</w:t>
      </w:r>
      <w:proofErr w:type="spellStart"/>
      <w:r>
        <w:rPr>
          <w:rFonts w:eastAsia="Times New Roman"/>
        </w:rPr>
        <w:t>неперфоративной</w:t>
      </w:r>
      <w:proofErr w:type="spellEnd"/>
      <w:r>
        <w:rPr>
          <w:rFonts w:eastAsia="Times New Roman"/>
        </w:rPr>
        <w:t xml:space="preserve"> форме острого среднего отита</w:t>
      </w:r>
    </w:p>
    <w:p w:rsidR="00655888" w:rsidRDefault="00655888" w:rsidP="00655888">
      <w:pPr>
        <w:pStyle w:val="a4"/>
        <w:spacing w:line="276" w:lineRule="auto"/>
      </w:pPr>
      <w:proofErr w:type="spellStart"/>
      <w:r>
        <w:rPr>
          <w:rStyle w:val="a5"/>
        </w:rPr>
        <w:t>Антромастоидотомия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антродренаж</w:t>
      </w:r>
      <w:proofErr w:type="spellEnd"/>
    </w:p>
    <w:p w:rsidR="00655888" w:rsidRDefault="00655888" w:rsidP="00655888">
      <w:pPr>
        <w:pStyle w:val="a4"/>
        <w:spacing w:line="276" w:lineRule="auto"/>
      </w:pPr>
      <w:r>
        <w:t xml:space="preserve">При наличии </w:t>
      </w:r>
      <w:proofErr w:type="spellStart"/>
      <w:r>
        <w:t>интратемпоральных</w:t>
      </w:r>
      <w:proofErr w:type="spellEnd"/>
      <w:r>
        <w:t xml:space="preserve"> или внутричерепных осложнений для дренирования очага гнойной инфекции</w:t>
      </w:r>
    </w:p>
    <w:p w:rsidR="00655888" w:rsidRDefault="00655888" w:rsidP="00655888">
      <w:pPr>
        <w:pStyle w:val="2"/>
        <w:spacing w:line="276" w:lineRule="auto"/>
      </w:pPr>
      <w:r>
        <w:rPr>
          <w:rFonts w:eastAsia="Times New Roman"/>
        </w:rPr>
        <w:t>Реабилитация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 xml:space="preserve">Прием (осмотр, консультация) врача </w:t>
      </w:r>
      <w:proofErr w:type="spellStart"/>
      <w:r>
        <w:rPr>
          <w:rStyle w:val="a5"/>
        </w:rPr>
        <w:t>сурдолога-оториноларинголога</w:t>
      </w:r>
      <w:proofErr w:type="spellEnd"/>
      <w:r>
        <w:rPr>
          <w:rStyle w:val="a5"/>
        </w:rPr>
        <w:t xml:space="preserve"> первичный</w:t>
      </w:r>
    </w:p>
    <w:p w:rsidR="00655888" w:rsidRDefault="00655888" w:rsidP="00655888">
      <w:pPr>
        <w:pStyle w:val="a4"/>
        <w:spacing w:line="276" w:lineRule="auto"/>
      </w:pPr>
      <w:r>
        <w:t>Пациентам с жалобами на снижение слуха после перенесенного острого среднего отита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Осмотр (консультация) врача-физиотерапевта</w:t>
      </w:r>
    </w:p>
    <w:p w:rsidR="00655888" w:rsidRDefault="00655888" w:rsidP="00655888">
      <w:pPr>
        <w:pStyle w:val="a4"/>
        <w:spacing w:line="276" w:lineRule="auto"/>
      </w:pPr>
      <w:r>
        <w:t>Для разработки совместной реабилитационной тактики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Отоскопия</w:t>
      </w:r>
    </w:p>
    <w:p w:rsidR="00655888" w:rsidRDefault="00655888" w:rsidP="00655888">
      <w:pPr>
        <w:pStyle w:val="a4"/>
        <w:spacing w:line="276" w:lineRule="auto"/>
      </w:pPr>
      <w:r>
        <w:t>Через 3-4 недели после перенесенного острого среднего отита</w:t>
      </w:r>
    </w:p>
    <w:p w:rsidR="00655888" w:rsidRDefault="00655888" w:rsidP="00655888">
      <w:pPr>
        <w:pStyle w:val="a4"/>
        <w:spacing w:line="276" w:lineRule="auto"/>
      </w:pPr>
      <w:proofErr w:type="spellStart"/>
      <w:r>
        <w:rPr>
          <w:rStyle w:val="a5"/>
        </w:rPr>
        <w:t>Тимпанометрия</w:t>
      </w:r>
      <w:proofErr w:type="spellEnd"/>
    </w:p>
    <w:p w:rsidR="00655888" w:rsidRDefault="00655888" w:rsidP="00655888">
      <w:pPr>
        <w:pStyle w:val="a4"/>
        <w:spacing w:line="276" w:lineRule="auto"/>
      </w:pPr>
      <w:r>
        <w:t>Через 3-4 недели после перенесенного острого среднего отита</w:t>
      </w:r>
    </w:p>
    <w:p w:rsidR="00655888" w:rsidRDefault="00655888" w:rsidP="00655888">
      <w:pPr>
        <w:pStyle w:val="2"/>
        <w:spacing w:line="276" w:lineRule="auto"/>
      </w:pPr>
      <w:r>
        <w:rPr>
          <w:rFonts w:eastAsia="Times New Roman"/>
        </w:rPr>
        <w:t>Профилактика и диспансерное наблюдение</w:t>
      </w:r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Диспансерный 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</w:p>
    <w:p w:rsidR="00655888" w:rsidRDefault="00655888" w:rsidP="00655888">
      <w:pPr>
        <w:pStyle w:val="a4"/>
        <w:spacing w:line="276" w:lineRule="auto"/>
      </w:pPr>
      <w:r>
        <w:rPr>
          <w:rStyle w:val="a5"/>
        </w:rPr>
        <w:t>Вакцинация от пневмококковой инфекции</w:t>
      </w:r>
    </w:p>
    <w:p w:rsidR="00655888" w:rsidRDefault="00655888" w:rsidP="00655888">
      <w:pPr>
        <w:pStyle w:val="a4"/>
        <w:spacing w:line="276" w:lineRule="auto"/>
      </w:pPr>
      <w:r>
        <w:lastRenderedPageBreak/>
        <w:t>Всем детям согласно национальному календарю прививок</w:t>
      </w:r>
    </w:p>
    <w:p w:rsidR="00655888" w:rsidRDefault="00655888" w:rsidP="00655888">
      <w:pPr>
        <w:pStyle w:val="a4"/>
        <w:spacing w:line="276" w:lineRule="auto"/>
      </w:pPr>
      <w:proofErr w:type="spellStart"/>
      <w:r>
        <w:rPr>
          <w:rStyle w:val="a5"/>
        </w:rPr>
        <w:t>Тимпаностомия</w:t>
      </w:r>
      <w:proofErr w:type="spellEnd"/>
    </w:p>
    <w:p w:rsidR="00655888" w:rsidRDefault="00655888" w:rsidP="00655888">
      <w:pPr>
        <w:pStyle w:val="a4"/>
        <w:spacing w:line="276" w:lineRule="auto"/>
      </w:pPr>
      <w:r>
        <w:t>Для снижения рисков повторения эпизодов заболевания</w:t>
      </w:r>
    </w:p>
    <w:p w:rsidR="00655888" w:rsidRDefault="00655888" w:rsidP="00655888">
      <w:pPr>
        <w:pStyle w:val="a4"/>
        <w:spacing w:line="276" w:lineRule="auto"/>
      </w:pPr>
      <w:r>
        <w:t> </w:t>
      </w:r>
    </w:p>
    <w:p w:rsidR="00655888" w:rsidRDefault="00655888" w:rsidP="00655888">
      <w:pPr>
        <w:pStyle w:val="a4"/>
        <w:spacing w:line="276" w:lineRule="auto"/>
      </w:pPr>
      <w:r>
        <w:t> </w:t>
      </w:r>
    </w:p>
    <w:p w:rsidR="00655888" w:rsidRDefault="00655888" w:rsidP="00655888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F90B0D" w:rsidRDefault="00F90B0D">
      <w:bookmarkStart w:id="0" w:name="_GoBack"/>
      <w:bookmarkEnd w:id="0"/>
    </w:p>
    <w:sectPr w:rsidR="00F9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BB1"/>
    <w:multiLevelType w:val="multilevel"/>
    <w:tmpl w:val="C36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71D58"/>
    <w:multiLevelType w:val="multilevel"/>
    <w:tmpl w:val="FD24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21B91"/>
    <w:multiLevelType w:val="multilevel"/>
    <w:tmpl w:val="9D3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83499"/>
    <w:multiLevelType w:val="multilevel"/>
    <w:tmpl w:val="1E10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E5D62"/>
    <w:multiLevelType w:val="multilevel"/>
    <w:tmpl w:val="A8D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6272A"/>
    <w:multiLevelType w:val="multilevel"/>
    <w:tmpl w:val="611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8768C"/>
    <w:multiLevelType w:val="multilevel"/>
    <w:tmpl w:val="32E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5154D"/>
    <w:multiLevelType w:val="multilevel"/>
    <w:tmpl w:val="C9F2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D5E6B"/>
    <w:multiLevelType w:val="multilevel"/>
    <w:tmpl w:val="0E56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A67EE"/>
    <w:multiLevelType w:val="multilevel"/>
    <w:tmpl w:val="DC3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76A0B"/>
    <w:multiLevelType w:val="multilevel"/>
    <w:tmpl w:val="0702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926B2"/>
    <w:multiLevelType w:val="multilevel"/>
    <w:tmpl w:val="745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DF2625"/>
    <w:multiLevelType w:val="multilevel"/>
    <w:tmpl w:val="48F0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17908"/>
    <w:multiLevelType w:val="multilevel"/>
    <w:tmpl w:val="FB1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88"/>
    <w:rsid w:val="00655888"/>
    <w:rsid w:val="00F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74E8C-A4B9-4A89-B524-A04F29B2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8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558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55888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588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5888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558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588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55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314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2023-02-06T07:05:00Z</dcterms:created>
  <dcterms:modified xsi:type="dcterms:W3CDTF">2023-02-06T07:05:00Z</dcterms:modified>
</cp:coreProperties>
</file>