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D09" w:rsidRDefault="00495D09" w:rsidP="00495D09">
      <w:pPr>
        <w:pStyle w:val="2"/>
        <w:spacing w:line="276" w:lineRule="auto"/>
        <w:rPr>
          <w:rFonts w:eastAsia="Times New Roman"/>
        </w:rPr>
      </w:pPr>
      <w:r>
        <w:rPr>
          <w:rFonts w:eastAsia="Times New Roman"/>
        </w:rPr>
        <w:t>Протокол ведения пациента с хроническим тонзиллитом</w:t>
      </w:r>
    </w:p>
    <w:p w:rsidR="00495D09" w:rsidRDefault="00495D09" w:rsidP="00495D09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Протокол подготовлен экспертами </w:t>
      </w:r>
      <w:hyperlink r:id="rId5" w:tgtFrame="_self" w:history="1">
        <w:r>
          <w:rPr>
            <w:rStyle w:val="a3"/>
            <w:rFonts w:eastAsia="Times New Roman"/>
          </w:rPr>
          <w:t>Системы Консилиум</w:t>
        </w:r>
      </w:hyperlink>
      <w:r>
        <w:rPr>
          <w:rFonts w:eastAsia="Times New Roman"/>
        </w:rPr>
        <w:t xml:space="preserve"> на основании клинической рекомендации «</w:t>
      </w:r>
      <w:hyperlink r:id="rId6" w:tgtFrame="_self" w:history="1">
        <w:r>
          <w:rPr>
            <w:rStyle w:val="a3"/>
            <w:rFonts w:eastAsia="Times New Roman"/>
          </w:rPr>
          <w:t>Хронический тонзиллит</w:t>
        </w:r>
      </w:hyperlink>
      <w:r>
        <w:rPr>
          <w:rFonts w:eastAsia="Times New Roman"/>
        </w:rPr>
        <w:t xml:space="preserve">». </w:t>
      </w:r>
    </w:p>
    <w:p w:rsidR="00495D09" w:rsidRDefault="00495D09" w:rsidP="00495D09">
      <w:pPr>
        <w:pStyle w:val="a4"/>
        <w:spacing w:line="276" w:lineRule="auto"/>
      </w:pPr>
      <w:r>
        <w:rPr>
          <w:rStyle w:val="a5"/>
        </w:rPr>
        <w:t>Разработано на основе «Хронический тонзиллит: клиническая рекомендация», одобренной Минздравом России 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65"/>
        <w:gridCol w:w="7074"/>
      </w:tblGrid>
      <w:tr w:rsidR="00495D09" w:rsidTr="00495D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5D09" w:rsidRDefault="00495D09">
            <w:pPr>
              <w:pStyle w:val="a4"/>
            </w:pPr>
            <w:r>
              <w:rPr>
                <w:rStyle w:val="a5"/>
              </w:rPr>
              <w:t>Категория возрастная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5D09" w:rsidRDefault="00495D09">
            <w:pPr>
              <w:pStyle w:val="a4"/>
            </w:pPr>
            <w:r>
              <w:t>дети, взрослые</w:t>
            </w:r>
          </w:p>
        </w:tc>
      </w:tr>
      <w:tr w:rsidR="00495D09" w:rsidTr="00495D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5D09" w:rsidRDefault="00495D09">
            <w:pPr>
              <w:pStyle w:val="a4"/>
            </w:pPr>
            <w:r>
              <w:rPr>
                <w:rStyle w:val="a5"/>
              </w:rPr>
              <w:t>Врач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5D09" w:rsidRDefault="00495D09">
            <w:pPr>
              <w:pStyle w:val="a4"/>
            </w:pPr>
            <w:r>
              <w:t>врач-</w:t>
            </w:r>
            <w:proofErr w:type="spellStart"/>
            <w:r>
              <w:t>оториноларинголог</w:t>
            </w:r>
            <w:proofErr w:type="spellEnd"/>
            <w:r>
              <w:t>, врач общей практики (семейный врач), врач-терапевт, врач-педиатр</w:t>
            </w:r>
          </w:p>
        </w:tc>
      </w:tr>
    </w:tbl>
    <w:p w:rsidR="00495D09" w:rsidRDefault="00495D09" w:rsidP="00495D09">
      <w:pPr>
        <w:pStyle w:val="2"/>
        <w:spacing w:line="276" w:lineRule="auto"/>
      </w:pPr>
      <w:r>
        <w:rPr>
          <w:rFonts w:eastAsia="Times New Roman"/>
        </w:rPr>
        <w:t>Диагностика</w:t>
      </w:r>
    </w:p>
    <w:p w:rsidR="00495D09" w:rsidRDefault="00495D09" w:rsidP="00495D09">
      <w:pPr>
        <w:pStyle w:val="3"/>
        <w:spacing w:line="276" w:lineRule="auto"/>
      </w:pPr>
      <w:r>
        <w:rPr>
          <w:rFonts w:eastAsia="Times New Roman"/>
        </w:rPr>
        <w:t>Осмотр врачами-специалистами</w:t>
      </w:r>
    </w:p>
    <w:p w:rsidR="00495D09" w:rsidRDefault="00495D09" w:rsidP="00495D09">
      <w:pPr>
        <w:pStyle w:val="a4"/>
        <w:spacing w:line="276" w:lineRule="auto"/>
      </w:pPr>
      <w:r>
        <w:rPr>
          <w:rStyle w:val="a5"/>
        </w:rPr>
        <w:t>Прием (осмотр, консультация) врача-</w:t>
      </w:r>
      <w:proofErr w:type="spellStart"/>
      <w:r>
        <w:rPr>
          <w:rStyle w:val="a5"/>
        </w:rPr>
        <w:t>оториноларинголога</w:t>
      </w:r>
      <w:proofErr w:type="spellEnd"/>
      <w:r>
        <w:rPr>
          <w:rStyle w:val="a5"/>
        </w:rPr>
        <w:t xml:space="preserve"> первичный</w:t>
      </w:r>
    </w:p>
    <w:p w:rsidR="00495D09" w:rsidRDefault="00495D09" w:rsidP="00495D09">
      <w:pPr>
        <w:pStyle w:val="a4"/>
        <w:spacing w:line="276" w:lineRule="auto"/>
      </w:pPr>
      <w:r>
        <w:rPr>
          <w:rStyle w:val="a5"/>
        </w:rPr>
        <w:t>Прием (осмотр, консультация) врача-терапевта первичный</w:t>
      </w:r>
    </w:p>
    <w:p w:rsidR="00495D09" w:rsidRDefault="00495D09" w:rsidP="00495D09">
      <w:pPr>
        <w:pStyle w:val="a4"/>
        <w:spacing w:line="276" w:lineRule="auto"/>
      </w:pPr>
      <w:r>
        <w:rPr>
          <w:rStyle w:val="a5"/>
        </w:rPr>
        <w:t>Прием (осмотр, консультация) врача общей практики (семейного врача) первичный</w:t>
      </w:r>
    </w:p>
    <w:p w:rsidR="00495D09" w:rsidRDefault="00495D09" w:rsidP="00495D09">
      <w:pPr>
        <w:pStyle w:val="a4"/>
        <w:spacing w:line="276" w:lineRule="auto"/>
      </w:pPr>
      <w:r>
        <w:rPr>
          <w:rStyle w:val="a5"/>
        </w:rPr>
        <w:t>Прием (осмотр, консультация) врача-педиатра первичный</w:t>
      </w:r>
    </w:p>
    <w:p w:rsidR="00495D09" w:rsidRDefault="00495D09" w:rsidP="00495D09">
      <w:pPr>
        <w:pStyle w:val="a4"/>
        <w:spacing w:line="276" w:lineRule="auto"/>
      </w:pPr>
      <w:r>
        <w:rPr>
          <w:rStyle w:val="a5"/>
        </w:rPr>
        <w:t>Сбор анамнеза и жалоб</w:t>
      </w:r>
    </w:p>
    <w:p w:rsidR="00495D09" w:rsidRDefault="00495D09" w:rsidP="00495D09">
      <w:pPr>
        <w:pStyle w:val="a4"/>
        <w:spacing w:line="276" w:lineRule="auto"/>
      </w:pPr>
      <w:r>
        <w:t xml:space="preserve">Следует выявлять </w:t>
      </w:r>
      <w:proofErr w:type="spellStart"/>
      <w:r>
        <w:t>фарингеальные</w:t>
      </w:r>
      <w:proofErr w:type="spellEnd"/>
      <w:r>
        <w:t xml:space="preserve"> и системные жалобы у детей и </w:t>
      </w:r>
      <w:proofErr w:type="spellStart"/>
      <w:r>
        <w:t>взрослыхфарингеальные</w:t>
      </w:r>
      <w:proofErr w:type="spellEnd"/>
      <w:r>
        <w:t xml:space="preserve"> жалобы</w:t>
      </w:r>
    </w:p>
    <w:p w:rsidR="00495D09" w:rsidRDefault="00495D09" w:rsidP="00495D09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боль</w:t>
      </w:r>
    </w:p>
    <w:p w:rsidR="00495D09" w:rsidRDefault="00495D09" w:rsidP="00495D09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першение</w:t>
      </w:r>
    </w:p>
    <w:p w:rsidR="00495D09" w:rsidRDefault="00495D09" w:rsidP="00495D09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ощущение инородного в области горла, в частности миндалин</w:t>
      </w:r>
    </w:p>
    <w:p w:rsidR="00495D09" w:rsidRDefault="00495D09" w:rsidP="00495D09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периодический сухой кашель</w:t>
      </w:r>
    </w:p>
    <w:p w:rsidR="00495D09" w:rsidRDefault="00495D09" w:rsidP="00495D09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неприятный запах изо рта (</w:t>
      </w:r>
      <w:proofErr w:type="spellStart"/>
      <w:r>
        <w:rPr>
          <w:rFonts w:eastAsia="Times New Roman"/>
        </w:rPr>
        <w:t>галитоз</w:t>
      </w:r>
      <w:proofErr w:type="spellEnd"/>
      <w:r>
        <w:rPr>
          <w:rFonts w:eastAsia="Times New Roman"/>
        </w:rPr>
        <w:t>)</w:t>
      </w:r>
    </w:p>
    <w:p w:rsidR="00495D09" w:rsidRDefault="00495D09" w:rsidP="00495D09">
      <w:pPr>
        <w:pStyle w:val="a4"/>
        <w:spacing w:line="276" w:lineRule="auto"/>
      </w:pPr>
      <w:r>
        <w:t>системные жалобы</w:t>
      </w:r>
    </w:p>
    <w:p w:rsidR="00495D09" w:rsidRDefault="00495D09" w:rsidP="00495D09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длительное недомогание</w:t>
      </w:r>
    </w:p>
    <w:p w:rsidR="00495D09" w:rsidRDefault="00495D09" w:rsidP="00495D09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снижение работоспособности</w:t>
      </w:r>
    </w:p>
    <w:p w:rsidR="00495D09" w:rsidRDefault="00495D09" w:rsidP="00495D09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продолжительные эпизоды субфебрильной температуры</w:t>
      </w:r>
    </w:p>
    <w:p w:rsidR="00495D09" w:rsidRDefault="00495D09" w:rsidP="00495D09">
      <w:pPr>
        <w:pStyle w:val="a4"/>
        <w:spacing w:line="276" w:lineRule="auto"/>
      </w:pPr>
      <w:proofErr w:type="spellStart"/>
      <w:r>
        <w:rPr>
          <w:rStyle w:val="a5"/>
        </w:rPr>
        <w:t>Физикальное</w:t>
      </w:r>
      <w:proofErr w:type="spellEnd"/>
      <w:r>
        <w:rPr>
          <w:rStyle w:val="a5"/>
        </w:rPr>
        <w:t xml:space="preserve"> обследование</w:t>
      </w:r>
    </w:p>
    <w:p w:rsidR="00495D09" w:rsidRDefault="00495D09" w:rsidP="00495D09">
      <w:pPr>
        <w:pStyle w:val="a4"/>
        <w:spacing w:line="276" w:lineRule="auto"/>
      </w:pPr>
      <w:r>
        <w:lastRenderedPageBreak/>
        <w:t xml:space="preserve">Для исключения фарингоскопических признаков острого тонзиллита и выявления местных признаков хронического тонзиллита выполнить </w:t>
      </w:r>
      <w:proofErr w:type="spellStart"/>
      <w:r>
        <w:t>фарингоскопиюместные</w:t>
      </w:r>
      <w:proofErr w:type="spellEnd"/>
      <w:r>
        <w:t xml:space="preserve"> признаки острого тонзиллита:</w:t>
      </w:r>
    </w:p>
    <w:p w:rsidR="00495D09" w:rsidRDefault="00495D09" w:rsidP="00495D09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яркая гиперемия и отек слизистой оболочки нёбных дужек, небных миндалин, задней стенки глотки (реже - мягкого нёба и нёбного язычка)</w:t>
      </w:r>
    </w:p>
    <w:p w:rsidR="00495D09" w:rsidRDefault="00495D09" w:rsidP="00495D09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экссудат и налеты на небных миндалинах, реже – задней стенке глотки</w:t>
      </w:r>
    </w:p>
    <w:p w:rsidR="00495D09" w:rsidRDefault="00495D09" w:rsidP="00495D09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регионарный лимфаденит (увеличение, уплотнение, болезненность при пальпации поднижнечелюстных, </w:t>
      </w:r>
      <w:proofErr w:type="spellStart"/>
      <w:r>
        <w:rPr>
          <w:rFonts w:eastAsia="Times New Roman"/>
        </w:rPr>
        <w:t>задненижнечелюстных</w:t>
      </w:r>
      <w:proofErr w:type="spellEnd"/>
      <w:r>
        <w:rPr>
          <w:rFonts w:eastAsia="Times New Roman"/>
        </w:rPr>
        <w:t>, передних и задних шейных лимфатических узлов)</w:t>
      </w:r>
    </w:p>
    <w:p w:rsidR="00495D09" w:rsidRDefault="00495D09" w:rsidP="00495D09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петехиальная</w:t>
      </w:r>
      <w:proofErr w:type="spellEnd"/>
      <w:r>
        <w:rPr>
          <w:rFonts w:eastAsia="Times New Roman"/>
        </w:rPr>
        <w:t xml:space="preserve"> энантема на мягком небе и нёбном язычке</w:t>
      </w:r>
    </w:p>
    <w:p w:rsidR="00495D09" w:rsidRDefault="00495D09" w:rsidP="00495D09">
      <w:pPr>
        <w:pStyle w:val="3"/>
        <w:spacing w:line="276" w:lineRule="auto"/>
      </w:pPr>
      <w:r>
        <w:rPr>
          <w:rFonts w:eastAsia="Times New Roman"/>
        </w:rPr>
        <w:t>Лабораторный методы</w:t>
      </w:r>
    </w:p>
    <w:p w:rsidR="00495D09" w:rsidRDefault="00495D09" w:rsidP="00495D09">
      <w:pPr>
        <w:pStyle w:val="a4"/>
        <w:spacing w:line="276" w:lineRule="auto"/>
      </w:pPr>
      <w:r>
        <w:rPr>
          <w:rStyle w:val="a5"/>
        </w:rPr>
        <w:t>Общий (клинический) анализ крови</w:t>
      </w:r>
    </w:p>
    <w:p w:rsidR="00495D09" w:rsidRDefault="00495D09" w:rsidP="00495D09">
      <w:pPr>
        <w:pStyle w:val="a4"/>
        <w:spacing w:line="276" w:lineRule="auto"/>
      </w:pPr>
      <w:r>
        <w:rPr>
          <w:rStyle w:val="a5"/>
        </w:rPr>
        <w:t>Общий (клинический) анализ мочи</w:t>
      </w:r>
    </w:p>
    <w:p w:rsidR="00495D09" w:rsidRDefault="00495D09" w:rsidP="00495D09">
      <w:pPr>
        <w:pStyle w:val="a4"/>
        <w:spacing w:line="276" w:lineRule="auto"/>
      </w:pPr>
      <w:r>
        <w:rPr>
          <w:rStyle w:val="a5"/>
        </w:rPr>
        <w:t>Исследование уровня С-реактивного белка в сыворотке крови</w:t>
      </w:r>
    </w:p>
    <w:p w:rsidR="00495D09" w:rsidRDefault="00495D09" w:rsidP="00495D09">
      <w:pPr>
        <w:pStyle w:val="a4"/>
        <w:spacing w:line="276" w:lineRule="auto"/>
      </w:pPr>
      <w:r>
        <w:rPr>
          <w:rStyle w:val="a5"/>
        </w:rPr>
        <w:t>Определение содержания ревматоидного фактора в крови</w:t>
      </w:r>
    </w:p>
    <w:p w:rsidR="00495D09" w:rsidRDefault="00495D09" w:rsidP="00495D09">
      <w:pPr>
        <w:pStyle w:val="a4"/>
        <w:spacing w:line="276" w:lineRule="auto"/>
      </w:pPr>
      <w:r>
        <w:rPr>
          <w:rStyle w:val="a5"/>
        </w:rPr>
        <w:t xml:space="preserve">Определение </w:t>
      </w:r>
      <w:proofErr w:type="spellStart"/>
      <w:r>
        <w:rPr>
          <w:rStyle w:val="a5"/>
        </w:rPr>
        <w:t>антистрептолизина</w:t>
      </w:r>
      <w:proofErr w:type="spellEnd"/>
      <w:r>
        <w:rPr>
          <w:rStyle w:val="a5"/>
        </w:rPr>
        <w:t>-</w:t>
      </w:r>
      <w:proofErr w:type="gramStart"/>
      <w:r>
        <w:rPr>
          <w:rStyle w:val="a5"/>
        </w:rPr>
        <w:t>О</w:t>
      </w:r>
      <w:proofErr w:type="gramEnd"/>
      <w:r>
        <w:rPr>
          <w:rStyle w:val="a5"/>
        </w:rPr>
        <w:t xml:space="preserve"> в сыворотке крови</w:t>
      </w:r>
    </w:p>
    <w:p w:rsidR="00495D09" w:rsidRDefault="00495D09" w:rsidP="00495D09">
      <w:pPr>
        <w:pStyle w:val="a4"/>
        <w:spacing w:line="276" w:lineRule="auto"/>
      </w:pPr>
      <w:r>
        <w:t xml:space="preserve">Для выявления внутриклеточной персистенции β-гемолитических </w:t>
      </w:r>
      <w:proofErr w:type="spellStart"/>
      <w:r>
        <w:t>стрептококко</w:t>
      </w:r>
      <w:proofErr w:type="spellEnd"/>
    </w:p>
    <w:p w:rsidR="00495D09" w:rsidRDefault="00495D09" w:rsidP="00495D09">
      <w:pPr>
        <w:pStyle w:val="a4"/>
        <w:spacing w:line="276" w:lineRule="auto"/>
      </w:pPr>
      <w:r>
        <w:rPr>
          <w:rStyle w:val="a5"/>
        </w:rPr>
        <w:t>Бактериологическое исследование отделяемого из зева на стрептококк группы A (</w:t>
      </w:r>
      <w:proofErr w:type="spellStart"/>
      <w:r>
        <w:rPr>
          <w:rStyle w:val="a5"/>
        </w:rPr>
        <w:t>Streptococcus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gr</w:t>
      </w:r>
      <w:proofErr w:type="spellEnd"/>
      <w:r>
        <w:rPr>
          <w:rStyle w:val="a5"/>
        </w:rPr>
        <w:t>. A)</w:t>
      </w:r>
    </w:p>
    <w:p w:rsidR="00495D09" w:rsidRDefault="00495D09" w:rsidP="00495D09">
      <w:pPr>
        <w:pStyle w:val="a4"/>
        <w:spacing w:line="276" w:lineRule="auto"/>
      </w:pPr>
      <w:r>
        <w:rPr>
          <w:rStyle w:val="a5"/>
        </w:rPr>
        <w:t>Определение антигена стрептококка группы A (</w:t>
      </w:r>
      <w:proofErr w:type="spellStart"/>
      <w:proofErr w:type="gramStart"/>
      <w:r>
        <w:rPr>
          <w:rStyle w:val="a5"/>
        </w:rPr>
        <w:t>S.pyogenes</w:t>
      </w:r>
      <w:proofErr w:type="spellEnd"/>
      <w:proofErr w:type="gramEnd"/>
      <w:r>
        <w:rPr>
          <w:rStyle w:val="a5"/>
        </w:rPr>
        <w:t>) в отделяемом верхних дыхательных путей</w:t>
      </w:r>
    </w:p>
    <w:p w:rsidR="00495D09" w:rsidRDefault="00495D09" w:rsidP="00495D09">
      <w:pPr>
        <w:pStyle w:val="a4"/>
        <w:spacing w:line="276" w:lineRule="auto"/>
      </w:pPr>
      <w:proofErr w:type="spellStart"/>
      <w:r>
        <w:rPr>
          <w:rStyle w:val="a5"/>
        </w:rPr>
        <w:t>Иммунохроматографическое</w:t>
      </w:r>
      <w:proofErr w:type="spellEnd"/>
      <w:r>
        <w:rPr>
          <w:rStyle w:val="a5"/>
        </w:rPr>
        <w:t xml:space="preserve"> экспресс-исследование мазка из зева на стрептококки группы А</w:t>
      </w:r>
    </w:p>
    <w:p w:rsidR="00495D09" w:rsidRDefault="00495D09" w:rsidP="00495D09">
      <w:pPr>
        <w:pStyle w:val="3"/>
        <w:spacing w:line="276" w:lineRule="auto"/>
      </w:pPr>
      <w:r>
        <w:rPr>
          <w:rFonts w:eastAsia="Times New Roman"/>
        </w:rPr>
        <w:t>Инструментальные методы</w:t>
      </w:r>
    </w:p>
    <w:p w:rsidR="00495D09" w:rsidRDefault="00495D09" w:rsidP="00495D09">
      <w:pPr>
        <w:pStyle w:val="a4"/>
        <w:spacing w:line="276" w:lineRule="auto"/>
      </w:pPr>
      <w:r>
        <w:rPr>
          <w:rStyle w:val="a5"/>
        </w:rPr>
        <w:t>Осмотр верхних дыхательных путей с использованием дополнительных источников света, шпателя и зеркал</w:t>
      </w:r>
    </w:p>
    <w:p w:rsidR="00495D09" w:rsidRDefault="00495D09" w:rsidP="00495D09">
      <w:pPr>
        <w:pStyle w:val="a4"/>
        <w:spacing w:line="276" w:lineRule="auto"/>
      </w:pPr>
      <w:r>
        <w:rPr>
          <w:rStyle w:val="a5"/>
        </w:rPr>
        <w:t>Фарингоскопия</w:t>
      </w:r>
    </w:p>
    <w:p w:rsidR="00495D09" w:rsidRDefault="00495D09" w:rsidP="00495D09">
      <w:pPr>
        <w:pStyle w:val="a4"/>
        <w:spacing w:line="276" w:lineRule="auto"/>
      </w:pPr>
      <w:proofErr w:type="spellStart"/>
      <w:r>
        <w:rPr>
          <w:rStyle w:val="a5"/>
        </w:rPr>
        <w:t>Эпифарингоскопия</w:t>
      </w:r>
      <w:proofErr w:type="spellEnd"/>
    </w:p>
    <w:p w:rsidR="00495D09" w:rsidRDefault="00495D09" w:rsidP="00495D09">
      <w:pPr>
        <w:pStyle w:val="2"/>
        <w:spacing w:line="276" w:lineRule="auto"/>
      </w:pPr>
      <w:r>
        <w:rPr>
          <w:rFonts w:eastAsia="Times New Roman"/>
        </w:rPr>
        <w:t>Лечение</w:t>
      </w:r>
    </w:p>
    <w:p w:rsidR="00495D09" w:rsidRDefault="00495D09" w:rsidP="00495D09">
      <w:pPr>
        <w:pStyle w:val="3"/>
        <w:spacing w:line="276" w:lineRule="auto"/>
      </w:pPr>
      <w:r>
        <w:rPr>
          <w:rFonts w:eastAsia="Times New Roman"/>
        </w:rPr>
        <w:lastRenderedPageBreak/>
        <w:t>Осмотр врачей-специалистов</w:t>
      </w:r>
    </w:p>
    <w:p w:rsidR="00495D09" w:rsidRDefault="00495D09" w:rsidP="00495D09">
      <w:pPr>
        <w:pStyle w:val="a4"/>
        <w:spacing w:line="276" w:lineRule="auto"/>
      </w:pPr>
      <w:r>
        <w:rPr>
          <w:rStyle w:val="a5"/>
        </w:rPr>
        <w:t>Прием (осмотр, консультация) врача-</w:t>
      </w:r>
      <w:proofErr w:type="spellStart"/>
      <w:r>
        <w:rPr>
          <w:rStyle w:val="a5"/>
        </w:rPr>
        <w:t>оториноларинголога</w:t>
      </w:r>
      <w:proofErr w:type="spellEnd"/>
      <w:r>
        <w:rPr>
          <w:rStyle w:val="a5"/>
        </w:rPr>
        <w:t xml:space="preserve"> первичный</w:t>
      </w:r>
    </w:p>
    <w:p w:rsidR="00495D09" w:rsidRDefault="00495D09" w:rsidP="00495D09">
      <w:pPr>
        <w:pStyle w:val="a4"/>
        <w:spacing w:line="276" w:lineRule="auto"/>
      </w:pPr>
      <w:r>
        <w:rPr>
          <w:rStyle w:val="a5"/>
        </w:rPr>
        <w:t>Прием (осмотр, консультация) врача-</w:t>
      </w:r>
      <w:proofErr w:type="spellStart"/>
      <w:r>
        <w:rPr>
          <w:rStyle w:val="a5"/>
        </w:rPr>
        <w:t>оториноларинголога</w:t>
      </w:r>
      <w:proofErr w:type="spellEnd"/>
      <w:r>
        <w:rPr>
          <w:rStyle w:val="a5"/>
        </w:rPr>
        <w:t xml:space="preserve"> повторный</w:t>
      </w:r>
    </w:p>
    <w:p w:rsidR="00495D09" w:rsidRDefault="00495D09" w:rsidP="00495D09">
      <w:pPr>
        <w:pStyle w:val="a4"/>
        <w:spacing w:line="276" w:lineRule="auto"/>
      </w:pPr>
      <w:r>
        <w:rPr>
          <w:rStyle w:val="a5"/>
        </w:rPr>
        <w:t>Ежедневный осмотр врачом-</w:t>
      </w:r>
      <w:proofErr w:type="spellStart"/>
      <w:r>
        <w:rPr>
          <w:rStyle w:val="a5"/>
        </w:rPr>
        <w:t>оториноларингологом</w:t>
      </w:r>
      <w:proofErr w:type="spellEnd"/>
      <w:r>
        <w:rPr>
          <w:rStyle w:val="a5"/>
        </w:rPr>
        <w:t xml:space="preserve"> с наблюдением и уходом среднего и младшего медицинского персонала в отделении стационара</w:t>
      </w:r>
    </w:p>
    <w:p w:rsidR="00495D09" w:rsidRDefault="00495D09" w:rsidP="00495D09">
      <w:pPr>
        <w:pStyle w:val="a4"/>
        <w:spacing w:line="276" w:lineRule="auto"/>
      </w:pPr>
      <w:r>
        <w:rPr>
          <w:rStyle w:val="a5"/>
        </w:rPr>
        <w:t>Осмотр (консультация) врача-физиотерапевта</w:t>
      </w:r>
    </w:p>
    <w:p w:rsidR="00495D09" w:rsidRDefault="00495D09" w:rsidP="00495D09">
      <w:pPr>
        <w:pStyle w:val="a4"/>
        <w:spacing w:line="276" w:lineRule="auto"/>
      </w:pPr>
      <w:r>
        <w:rPr>
          <w:rStyle w:val="a5"/>
        </w:rPr>
        <w:t>Прием (осмотр, консультация) врача-терапевта первичный (при оказании медицинской помощи в амбулаторных условиях медицинская услуга является взаимозаменяемой с медицинской услугой B01.026.001 "Прием (осмотр, консультация) врача общей практики (семейного врача) первичный")</w:t>
      </w:r>
    </w:p>
    <w:p w:rsidR="00495D09" w:rsidRDefault="00495D09" w:rsidP="00495D09">
      <w:pPr>
        <w:pStyle w:val="a4"/>
        <w:spacing w:line="276" w:lineRule="auto"/>
      </w:pPr>
      <w:r>
        <w:rPr>
          <w:rStyle w:val="a5"/>
        </w:rPr>
        <w:t>Прием (осмотр, консультация) врача-терапевта повторный (при оказании медицинской помощи в амбулаторных условиях медицинская услуга является взаимозаменяемой с медицинской услугой B01.026.002 "Прием (осмотр, консультация) врача общей практики (семейного врача) повторный")</w:t>
      </w:r>
    </w:p>
    <w:p w:rsidR="00495D09" w:rsidRDefault="00495D09" w:rsidP="00495D09">
      <w:pPr>
        <w:pStyle w:val="3"/>
        <w:spacing w:line="276" w:lineRule="auto"/>
      </w:pPr>
      <w:r>
        <w:rPr>
          <w:rFonts w:eastAsia="Times New Roman"/>
        </w:rPr>
        <w:t>Медикаментозная терапия</w:t>
      </w:r>
    </w:p>
    <w:p w:rsidR="00495D09" w:rsidRDefault="00495D09" w:rsidP="00495D09">
      <w:pPr>
        <w:pStyle w:val="a4"/>
        <w:spacing w:line="276" w:lineRule="auto"/>
      </w:pPr>
      <w:r>
        <w:rPr>
          <w:rStyle w:val="a5"/>
        </w:rPr>
        <w:t>Бета-</w:t>
      </w:r>
      <w:proofErr w:type="spellStart"/>
      <w:r>
        <w:rPr>
          <w:rStyle w:val="a5"/>
        </w:rPr>
        <w:t>лактамные</w:t>
      </w:r>
      <w:proofErr w:type="spellEnd"/>
      <w:r>
        <w:rPr>
          <w:rStyle w:val="a5"/>
        </w:rPr>
        <w:t xml:space="preserve"> антибактериальные препараты: пенициллины</w:t>
      </w:r>
    </w:p>
    <w:p w:rsidR="00495D09" w:rsidRDefault="00495D09" w:rsidP="00495D09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при подтвержденной БГСА-инфекция по результатам бактериологического посева</w:t>
      </w:r>
    </w:p>
    <w:p w:rsidR="00495D09" w:rsidRDefault="00495D09" w:rsidP="00495D09">
      <w:pPr>
        <w:pStyle w:val="a4"/>
        <w:spacing w:line="276" w:lineRule="auto"/>
      </w:pPr>
      <w:proofErr w:type="spellStart"/>
      <w:r>
        <w:rPr>
          <w:rStyle w:val="a5"/>
        </w:rPr>
        <w:t>Макролиды</w:t>
      </w:r>
      <w:proofErr w:type="spellEnd"/>
    </w:p>
    <w:p w:rsidR="00495D09" w:rsidRDefault="00495D09" w:rsidP="00495D09">
      <w:pPr>
        <w:numPr>
          <w:ilvl w:val="0"/>
          <w:numId w:val="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при повышенных и длительно не снижающихся показателях АСЛО</w:t>
      </w:r>
    </w:p>
    <w:p w:rsidR="00495D09" w:rsidRDefault="00495D09" w:rsidP="00495D09">
      <w:pPr>
        <w:numPr>
          <w:ilvl w:val="0"/>
          <w:numId w:val="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при отрицательных результатах посевов на БГСА</w:t>
      </w:r>
    </w:p>
    <w:p w:rsidR="00495D09" w:rsidRDefault="00495D09" w:rsidP="00495D09">
      <w:pPr>
        <w:pStyle w:val="a4"/>
        <w:spacing w:line="276" w:lineRule="auto"/>
      </w:pPr>
      <w:r>
        <w:rPr>
          <w:rStyle w:val="a5"/>
        </w:rPr>
        <w:t>Препараты природного происхождения</w:t>
      </w:r>
    </w:p>
    <w:p w:rsidR="00495D09" w:rsidRDefault="00495D09" w:rsidP="00495D09">
      <w:pPr>
        <w:pStyle w:val="a4"/>
        <w:spacing w:line="276" w:lineRule="auto"/>
      </w:pPr>
      <w:proofErr w:type="spellStart"/>
      <w:r>
        <w:t>Тонзилгон</w:t>
      </w:r>
      <w:proofErr w:type="spellEnd"/>
    </w:p>
    <w:p w:rsidR="00495D09" w:rsidRDefault="00495D09" w:rsidP="00495D09">
      <w:pPr>
        <w:numPr>
          <w:ilvl w:val="0"/>
          <w:numId w:val="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оказывает комплексное действие на ключевые звенья патогенеза хронического </w:t>
      </w:r>
      <w:proofErr w:type="spellStart"/>
      <w:r>
        <w:rPr>
          <w:rFonts w:eastAsia="Times New Roman"/>
        </w:rPr>
        <w:t>тонзилита</w:t>
      </w:r>
      <w:proofErr w:type="spellEnd"/>
    </w:p>
    <w:p w:rsidR="00495D09" w:rsidRDefault="00495D09" w:rsidP="00495D09">
      <w:pPr>
        <w:numPr>
          <w:ilvl w:val="0"/>
          <w:numId w:val="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назначается курсами в </w:t>
      </w:r>
      <w:proofErr w:type="spellStart"/>
      <w:r>
        <w:rPr>
          <w:rFonts w:eastAsia="Times New Roman"/>
        </w:rPr>
        <w:t>межрецидивный</w:t>
      </w:r>
      <w:proofErr w:type="spellEnd"/>
      <w:r>
        <w:rPr>
          <w:rFonts w:eastAsia="Times New Roman"/>
        </w:rPr>
        <w:t xml:space="preserve"> период с целью профилактики рецидивов острого тонзиллита</w:t>
      </w:r>
    </w:p>
    <w:p w:rsidR="00495D09" w:rsidRDefault="00495D09" w:rsidP="00495D09">
      <w:pPr>
        <w:numPr>
          <w:ilvl w:val="0"/>
          <w:numId w:val="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улучшает течения хронического </w:t>
      </w:r>
      <w:proofErr w:type="spellStart"/>
      <w:r>
        <w:rPr>
          <w:rFonts w:eastAsia="Times New Roman"/>
        </w:rPr>
        <w:t>тонзилита</w:t>
      </w:r>
      <w:proofErr w:type="spellEnd"/>
    </w:p>
    <w:p w:rsidR="00495D09" w:rsidRDefault="00495D09" w:rsidP="00495D09">
      <w:pPr>
        <w:pStyle w:val="a4"/>
        <w:spacing w:line="276" w:lineRule="auto"/>
      </w:pPr>
      <w:r>
        <w:rPr>
          <w:rStyle w:val="a5"/>
        </w:rPr>
        <w:t xml:space="preserve">Терапия антисептиками и </w:t>
      </w:r>
      <w:proofErr w:type="spellStart"/>
      <w:r>
        <w:rPr>
          <w:rStyle w:val="a5"/>
        </w:rPr>
        <w:t>дезиницирующими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средствами</w:t>
      </w:r>
      <w:r>
        <w:t>Для</w:t>
      </w:r>
      <w:proofErr w:type="spellEnd"/>
      <w:r>
        <w:t xml:space="preserve"> санирования небных миндалин, уменьшения выраженности хронического воспаления</w:t>
      </w:r>
    </w:p>
    <w:p w:rsidR="00495D09" w:rsidRDefault="00495D09" w:rsidP="00495D09">
      <w:pPr>
        <w:numPr>
          <w:ilvl w:val="0"/>
          <w:numId w:val="7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полоскание</w:t>
      </w:r>
    </w:p>
    <w:p w:rsidR="00495D09" w:rsidRDefault="00495D09" w:rsidP="00495D09">
      <w:pPr>
        <w:numPr>
          <w:ilvl w:val="0"/>
          <w:numId w:val="7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lastRenderedPageBreak/>
        <w:t>инсуффляция</w:t>
      </w:r>
      <w:proofErr w:type="spellEnd"/>
    </w:p>
    <w:p w:rsidR="00495D09" w:rsidRDefault="00495D09" w:rsidP="00495D09">
      <w:pPr>
        <w:numPr>
          <w:ilvl w:val="0"/>
          <w:numId w:val="7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ингаляция</w:t>
      </w:r>
    </w:p>
    <w:p w:rsidR="00495D09" w:rsidRDefault="00495D09" w:rsidP="00495D09">
      <w:pPr>
        <w:pStyle w:val="a4"/>
        <w:spacing w:line="276" w:lineRule="auto"/>
      </w:pPr>
      <w:r>
        <w:rPr>
          <w:rStyle w:val="a5"/>
        </w:rPr>
        <w:t>Цефалоспорины 3-го поколения</w:t>
      </w:r>
    </w:p>
    <w:p w:rsidR="00495D09" w:rsidRDefault="00495D09" w:rsidP="00495D09">
      <w:pPr>
        <w:pStyle w:val="a4"/>
        <w:spacing w:line="276" w:lineRule="auto"/>
      </w:pPr>
      <w:r>
        <w:rPr>
          <w:rStyle w:val="a5"/>
        </w:rPr>
        <w:t>Пиразолоны</w:t>
      </w:r>
    </w:p>
    <w:p w:rsidR="00495D09" w:rsidRDefault="00495D09" w:rsidP="00495D09">
      <w:pPr>
        <w:pStyle w:val="a4"/>
        <w:spacing w:line="276" w:lineRule="auto"/>
      </w:pPr>
      <w:proofErr w:type="spellStart"/>
      <w:r>
        <w:rPr>
          <w:rStyle w:val="a5"/>
        </w:rPr>
        <w:t>Бигуаниды</w:t>
      </w:r>
      <w:proofErr w:type="spellEnd"/>
      <w:r>
        <w:rPr>
          <w:rStyle w:val="a5"/>
        </w:rPr>
        <w:t xml:space="preserve"> и </w:t>
      </w:r>
      <w:proofErr w:type="spellStart"/>
      <w:r>
        <w:rPr>
          <w:rStyle w:val="a5"/>
        </w:rPr>
        <w:t>амидины</w:t>
      </w:r>
      <w:proofErr w:type="spellEnd"/>
    </w:p>
    <w:p w:rsidR="00495D09" w:rsidRDefault="00495D09" w:rsidP="00495D09">
      <w:pPr>
        <w:pStyle w:val="3"/>
        <w:spacing w:line="276" w:lineRule="auto"/>
      </w:pPr>
      <w:r>
        <w:rPr>
          <w:rFonts w:eastAsia="Times New Roman"/>
        </w:rPr>
        <w:t>Немедикаментозная терапия</w:t>
      </w:r>
    </w:p>
    <w:p w:rsidR="00495D09" w:rsidRDefault="00495D09" w:rsidP="00495D09">
      <w:pPr>
        <w:pStyle w:val="a4"/>
        <w:spacing w:line="276" w:lineRule="auto"/>
      </w:pPr>
      <w:r>
        <w:rPr>
          <w:rStyle w:val="a5"/>
        </w:rPr>
        <w:t>Промывание лакун миндалин</w:t>
      </w:r>
    </w:p>
    <w:p w:rsidR="00495D09" w:rsidRDefault="00495D09" w:rsidP="00495D09">
      <w:pPr>
        <w:pStyle w:val="a4"/>
        <w:spacing w:line="276" w:lineRule="auto"/>
      </w:pPr>
      <w:r>
        <w:t xml:space="preserve">В </w:t>
      </w:r>
      <w:proofErr w:type="spellStart"/>
      <w:r>
        <w:t>межрецидивный</w:t>
      </w:r>
      <w:proofErr w:type="spellEnd"/>
      <w:r>
        <w:t xml:space="preserve"> период для санирования небных миндалин и уменьшения выраженности хронического воспаления</w:t>
      </w:r>
    </w:p>
    <w:p w:rsidR="00495D09" w:rsidRDefault="00495D09" w:rsidP="00495D09">
      <w:pPr>
        <w:pStyle w:val="a4"/>
        <w:spacing w:line="276" w:lineRule="auto"/>
      </w:pPr>
      <w:r>
        <w:rPr>
          <w:rStyle w:val="a5"/>
        </w:rPr>
        <w:t>Воздействие высокоинтенсивным импульсным магнитным полем</w:t>
      </w:r>
    </w:p>
    <w:p w:rsidR="00495D09" w:rsidRDefault="00495D09" w:rsidP="00495D09">
      <w:pPr>
        <w:pStyle w:val="a4"/>
        <w:spacing w:line="276" w:lineRule="auto"/>
      </w:pPr>
      <w:r>
        <w:rPr>
          <w:rStyle w:val="a5"/>
        </w:rPr>
        <w:t>Воздействие лазерным низкоинтенсивным излучением на область зева</w:t>
      </w:r>
    </w:p>
    <w:p w:rsidR="00495D09" w:rsidRDefault="00495D09" w:rsidP="00495D09">
      <w:pPr>
        <w:pStyle w:val="a4"/>
        <w:spacing w:line="276" w:lineRule="auto"/>
      </w:pPr>
      <w:r>
        <w:rPr>
          <w:rStyle w:val="a5"/>
        </w:rPr>
        <w:t>Воздействие коротким ультрафиолетовым излучением</w:t>
      </w:r>
    </w:p>
    <w:p w:rsidR="00495D09" w:rsidRDefault="00495D09" w:rsidP="00495D09">
      <w:pPr>
        <w:pStyle w:val="a4"/>
        <w:spacing w:line="276" w:lineRule="auto"/>
      </w:pPr>
      <w:r>
        <w:rPr>
          <w:rStyle w:val="a5"/>
        </w:rPr>
        <w:t>Воздействие магнитными полями при патологии полости рта и зубов</w:t>
      </w:r>
    </w:p>
    <w:p w:rsidR="00495D09" w:rsidRDefault="00495D09" w:rsidP="00495D09">
      <w:pPr>
        <w:pStyle w:val="a4"/>
        <w:spacing w:line="276" w:lineRule="auto"/>
      </w:pPr>
      <w:r>
        <w:t xml:space="preserve">Назначается во время курсового </w:t>
      </w:r>
      <w:proofErr w:type="spellStart"/>
      <w:r>
        <w:t>противорецидивного</w:t>
      </w:r>
      <w:proofErr w:type="spellEnd"/>
      <w:r>
        <w:t xml:space="preserve"> лечения с целью усиления противовоспалительного, </w:t>
      </w:r>
      <w:proofErr w:type="spellStart"/>
      <w:r>
        <w:t>гипосенсибилизирующего</w:t>
      </w:r>
      <w:proofErr w:type="spellEnd"/>
      <w:r>
        <w:t>, иммуностимулирующего действия</w:t>
      </w:r>
    </w:p>
    <w:p w:rsidR="00495D09" w:rsidRDefault="00495D09" w:rsidP="00495D09">
      <w:pPr>
        <w:pStyle w:val="a4"/>
        <w:spacing w:line="276" w:lineRule="auto"/>
      </w:pPr>
      <w:r>
        <w:rPr>
          <w:rStyle w:val="a5"/>
        </w:rPr>
        <w:t>Воздействие магнитными полями</w:t>
      </w:r>
    </w:p>
    <w:p w:rsidR="00495D09" w:rsidRDefault="00495D09" w:rsidP="00495D09">
      <w:pPr>
        <w:pStyle w:val="a4"/>
        <w:spacing w:line="276" w:lineRule="auto"/>
      </w:pPr>
      <w:r>
        <w:t xml:space="preserve">Назначается во время курсового </w:t>
      </w:r>
      <w:proofErr w:type="spellStart"/>
      <w:r>
        <w:t>противорецидивного</w:t>
      </w:r>
      <w:proofErr w:type="spellEnd"/>
      <w:r>
        <w:t xml:space="preserve"> лечения с целью усиления противовоспалительного, </w:t>
      </w:r>
      <w:proofErr w:type="spellStart"/>
      <w:r>
        <w:t>гипосенсибилизирующего</w:t>
      </w:r>
      <w:proofErr w:type="spellEnd"/>
      <w:r>
        <w:t>, иммуностимулирующего действия</w:t>
      </w:r>
    </w:p>
    <w:p w:rsidR="00495D09" w:rsidRDefault="00495D09" w:rsidP="00495D09">
      <w:pPr>
        <w:pStyle w:val="a4"/>
        <w:spacing w:line="276" w:lineRule="auto"/>
      </w:pPr>
      <w:proofErr w:type="spellStart"/>
      <w:r>
        <w:rPr>
          <w:rStyle w:val="a5"/>
        </w:rPr>
        <w:t>Магнитофорез</w:t>
      </w:r>
      <w:proofErr w:type="spellEnd"/>
    </w:p>
    <w:p w:rsidR="00495D09" w:rsidRDefault="00495D09" w:rsidP="00495D09">
      <w:pPr>
        <w:pStyle w:val="a4"/>
        <w:spacing w:line="276" w:lineRule="auto"/>
      </w:pPr>
      <w:r>
        <w:t xml:space="preserve">Назначается во время курсового </w:t>
      </w:r>
      <w:proofErr w:type="spellStart"/>
      <w:r>
        <w:t>противорецидивного</w:t>
      </w:r>
      <w:proofErr w:type="spellEnd"/>
      <w:r>
        <w:t xml:space="preserve"> лечения с целью усиления противовоспалительного, </w:t>
      </w:r>
      <w:proofErr w:type="spellStart"/>
      <w:r>
        <w:t>гипосенсибилизирующего</w:t>
      </w:r>
      <w:proofErr w:type="spellEnd"/>
      <w:r>
        <w:t>, иммуностимулирующего действия</w:t>
      </w:r>
    </w:p>
    <w:p w:rsidR="00495D09" w:rsidRDefault="00495D09" w:rsidP="00495D09">
      <w:pPr>
        <w:pStyle w:val="a4"/>
        <w:spacing w:line="276" w:lineRule="auto"/>
      </w:pPr>
      <w:proofErr w:type="spellStart"/>
      <w:r>
        <w:rPr>
          <w:rStyle w:val="a5"/>
        </w:rPr>
        <w:t>Гелиовоздействие</w:t>
      </w:r>
      <w:proofErr w:type="spellEnd"/>
    </w:p>
    <w:p w:rsidR="00495D09" w:rsidRDefault="00495D09" w:rsidP="00495D09">
      <w:pPr>
        <w:pStyle w:val="a4"/>
        <w:spacing w:line="276" w:lineRule="auto"/>
      </w:pPr>
      <w:r>
        <w:t xml:space="preserve">Назначается во время курсового </w:t>
      </w:r>
      <w:proofErr w:type="spellStart"/>
      <w:r>
        <w:t>противорецидивного</w:t>
      </w:r>
      <w:proofErr w:type="spellEnd"/>
      <w:r>
        <w:t xml:space="preserve"> лечения с целью усиления противовоспалительного, </w:t>
      </w:r>
      <w:proofErr w:type="spellStart"/>
      <w:r>
        <w:t>гипосенсибилизирующего</w:t>
      </w:r>
      <w:proofErr w:type="spellEnd"/>
      <w:r>
        <w:t>, иммуностимулирующего действия</w:t>
      </w:r>
    </w:p>
    <w:p w:rsidR="00495D09" w:rsidRDefault="00495D09" w:rsidP="00495D09">
      <w:pPr>
        <w:pStyle w:val="a4"/>
        <w:spacing w:line="276" w:lineRule="auto"/>
      </w:pPr>
      <w:r>
        <w:rPr>
          <w:rStyle w:val="a5"/>
        </w:rPr>
        <w:t>Воздействие коротким ультрафиолетовым светом при заболеваниях верхних дыхательных путей</w:t>
      </w:r>
    </w:p>
    <w:p w:rsidR="00495D09" w:rsidRDefault="00495D09" w:rsidP="00495D09">
      <w:pPr>
        <w:pStyle w:val="a4"/>
        <w:spacing w:line="276" w:lineRule="auto"/>
      </w:pPr>
      <w:r>
        <w:t xml:space="preserve">Назначается во время курсового </w:t>
      </w:r>
      <w:proofErr w:type="spellStart"/>
      <w:r>
        <w:t>противорецидивного</w:t>
      </w:r>
      <w:proofErr w:type="spellEnd"/>
      <w:r>
        <w:t xml:space="preserve"> лечения с целью усиления противовоспалительного, </w:t>
      </w:r>
      <w:proofErr w:type="spellStart"/>
      <w:r>
        <w:t>гипосенсибилизирующего</w:t>
      </w:r>
      <w:proofErr w:type="spellEnd"/>
      <w:r>
        <w:t>, иммуностимулирующего действия</w:t>
      </w:r>
    </w:p>
    <w:p w:rsidR="00495D09" w:rsidRDefault="00495D09" w:rsidP="00495D09">
      <w:pPr>
        <w:pStyle w:val="a4"/>
        <w:spacing w:line="276" w:lineRule="auto"/>
      </w:pPr>
      <w:r>
        <w:rPr>
          <w:rStyle w:val="a5"/>
        </w:rPr>
        <w:lastRenderedPageBreak/>
        <w:t>Воздействие низкоинтенсивным лазерным излучением при заболеваниях верхних дыхательных путей</w:t>
      </w:r>
    </w:p>
    <w:p w:rsidR="00495D09" w:rsidRDefault="00495D09" w:rsidP="00495D09">
      <w:pPr>
        <w:pStyle w:val="a4"/>
        <w:spacing w:line="276" w:lineRule="auto"/>
      </w:pPr>
      <w:r>
        <w:t xml:space="preserve">Назначается во время курсового </w:t>
      </w:r>
      <w:proofErr w:type="spellStart"/>
      <w:r>
        <w:t>противорецидивного</w:t>
      </w:r>
      <w:proofErr w:type="spellEnd"/>
      <w:r>
        <w:t xml:space="preserve"> лечения с целью усиления противовоспалительного, </w:t>
      </w:r>
      <w:proofErr w:type="spellStart"/>
      <w:r>
        <w:t>гипосенсибилизирующего</w:t>
      </w:r>
      <w:proofErr w:type="spellEnd"/>
      <w:r>
        <w:t>, иммуностимулирующего действия</w:t>
      </w:r>
    </w:p>
    <w:p w:rsidR="00495D09" w:rsidRDefault="00495D09" w:rsidP="00495D09">
      <w:pPr>
        <w:pStyle w:val="3"/>
        <w:spacing w:line="276" w:lineRule="auto"/>
      </w:pPr>
      <w:r>
        <w:rPr>
          <w:rFonts w:eastAsia="Times New Roman"/>
        </w:rPr>
        <w:t>Хирургическое лечение</w:t>
      </w:r>
    </w:p>
    <w:p w:rsidR="00495D09" w:rsidRDefault="00495D09" w:rsidP="00495D09">
      <w:pPr>
        <w:pStyle w:val="a4"/>
        <w:spacing w:line="276" w:lineRule="auto"/>
      </w:pPr>
      <w:r>
        <w:rPr>
          <w:rStyle w:val="a5"/>
        </w:rPr>
        <w:t xml:space="preserve">Двусторонняя </w:t>
      </w:r>
      <w:proofErr w:type="spellStart"/>
      <w:r>
        <w:rPr>
          <w:rStyle w:val="a5"/>
        </w:rPr>
        <w:t>тонзиллэктомия</w:t>
      </w:r>
      <w:proofErr w:type="spellEnd"/>
    </w:p>
    <w:p w:rsidR="00495D09" w:rsidRDefault="00495D09" w:rsidP="00495D09">
      <w:pPr>
        <w:pStyle w:val="a4"/>
        <w:spacing w:line="276" w:lineRule="auto"/>
      </w:pPr>
      <w:r>
        <w:t xml:space="preserve">Проводится в </w:t>
      </w:r>
      <w:proofErr w:type="spellStart"/>
      <w:r>
        <w:t>межрецидивный</w:t>
      </w:r>
      <w:proofErr w:type="spellEnd"/>
      <w:r>
        <w:t xml:space="preserve"> период с целью радикальной элиминации хронического очага инфекции в нёбных миндалинах</w:t>
      </w:r>
    </w:p>
    <w:p w:rsidR="00495D09" w:rsidRDefault="00495D09" w:rsidP="00495D09">
      <w:pPr>
        <w:pStyle w:val="3"/>
        <w:spacing w:line="276" w:lineRule="auto"/>
      </w:pPr>
      <w:r>
        <w:rPr>
          <w:rFonts w:eastAsia="Times New Roman"/>
        </w:rPr>
        <w:t>Лечебное питание</w:t>
      </w:r>
    </w:p>
    <w:p w:rsidR="00495D09" w:rsidRDefault="00495D09" w:rsidP="00495D09">
      <w:pPr>
        <w:pStyle w:val="a4"/>
        <w:spacing w:line="276" w:lineRule="auto"/>
      </w:pPr>
      <w:r>
        <w:rPr>
          <w:rStyle w:val="a5"/>
        </w:rPr>
        <w:t xml:space="preserve">Вариант диеты с механическим и химическим </w:t>
      </w:r>
      <w:proofErr w:type="spellStart"/>
      <w:r>
        <w:rPr>
          <w:rStyle w:val="a5"/>
        </w:rPr>
        <w:t>щажением</w:t>
      </w:r>
      <w:proofErr w:type="spellEnd"/>
    </w:p>
    <w:p w:rsidR="00495D09" w:rsidRDefault="00495D09" w:rsidP="00495D09">
      <w:pPr>
        <w:pStyle w:val="2"/>
        <w:spacing w:line="276" w:lineRule="auto"/>
        <w:rPr>
          <w:rFonts w:eastAsia="Times New Roman"/>
        </w:rPr>
      </w:pPr>
      <w:r>
        <w:rPr>
          <w:rStyle w:val="a5"/>
          <w:rFonts w:eastAsia="Times New Roman"/>
          <w:b/>
          <w:bCs/>
        </w:rPr>
        <w:t>Диспансерное наблюдение</w:t>
      </w:r>
    </w:p>
    <w:p w:rsidR="00495D09" w:rsidRDefault="00495D09" w:rsidP="00495D09">
      <w:pPr>
        <w:pStyle w:val="a4"/>
        <w:spacing w:line="276" w:lineRule="auto"/>
      </w:pPr>
      <w:r>
        <w:rPr>
          <w:rStyle w:val="a5"/>
        </w:rPr>
        <w:t>Диспансерный прием (осмотр, консультация) врача-специалиста</w:t>
      </w:r>
    </w:p>
    <w:p w:rsidR="00495D09" w:rsidRDefault="00495D09" w:rsidP="00495D09">
      <w:pPr>
        <w:numPr>
          <w:ilvl w:val="0"/>
          <w:numId w:val="8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оториноларинголога</w:t>
      </w:r>
      <w:proofErr w:type="spellEnd"/>
    </w:p>
    <w:p w:rsidR="00495D09" w:rsidRDefault="00495D09" w:rsidP="00495D09">
      <w:pPr>
        <w:numPr>
          <w:ilvl w:val="0"/>
          <w:numId w:val="8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врача общей практики</w:t>
      </w:r>
    </w:p>
    <w:p w:rsidR="00495D09" w:rsidRDefault="00495D09" w:rsidP="00495D09">
      <w:pPr>
        <w:numPr>
          <w:ilvl w:val="0"/>
          <w:numId w:val="8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терапевта</w:t>
      </w:r>
    </w:p>
    <w:p w:rsidR="00495D09" w:rsidRDefault="00495D09" w:rsidP="00495D09">
      <w:pPr>
        <w:numPr>
          <w:ilvl w:val="0"/>
          <w:numId w:val="8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педиатра</w:t>
      </w:r>
    </w:p>
    <w:p w:rsidR="00495D09" w:rsidRDefault="00495D09" w:rsidP="00495D09">
      <w:pPr>
        <w:pStyle w:val="a4"/>
        <w:spacing w:line="276" w:lineRule="auto"/>
      </w:pPr>
      <w:r>
        <w:t> </w:t>
      </w:r>
    </w:p>
    <w:p w:rsidR="00495D09" w:rsidRDefault="00495D09" w:rsidP="00495D09">
      <w:pPr>
        <w:numPr>
          <w:ilvl w:val="0"/>
          <w:numId w:val="9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при компенсированной форме – курсовое лечение осуществляется 2 раза в год, при отсутствии рецидивов в течение 3-х лет пациент снимается с диспансерного учета</w:t>
      </w:r>
    </w:p>
    <w:p w:rsidR="00495D09" w:rsidRDefault="00495D09" w:rsidP="00495D09">
      <w:pPr>
        <w:numPr>
          <w:ilvl w:val="0"/>
          <w:numId w:val="9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при декомпенсированной форме – курсовое лечение осуществляется 3-4 раза в год, при неэффективности пациент направляется на хирургическое лечение</w:t>
      </w:r>
    </w:p>
    <w:p w:rsidR="00495D09" w:rsidRDefault="00495D09" w:rsidP="00495D09">
      <w:pPr>
        <w:numPr>
          <w:ilvl w:val="0"/>
          <w:numId w:val="9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после выполнения хирургического лечения – пациент находится под диспансерным наблюдением в течение 6 месяцев</w:t>
      </w:r>
    </w:p>
    <w:p w:rsidR="00495D09" w:rsidRDefault="00495D09" w:rsidP="00495D09">
      <w:pPr>
        <w:pStyle w:val="a4"/>
        <w:spacing w:line="276" w:lineRule="auto"/>
      </w:pPr>
      <w:r>
        <w:t> </w:t>
      </w:r>
    </w:p>
    <w:p w:rsidR="00495D09" w:rsidRDefault="00495D09" w:rsidP="00495D09">
      <w:pPr>
        <w:spacing w:line="276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«Главный врач»</w:t>
      </w:r>
      <w:r>
        <w:rPr>
          <w:rFonts w:ascii="Arial" w:eastAsia="Times New Roman" w:hAnsi="Arial" w:cs="Arial"/>
          <w:sz w:val="20"/>
          <w:szCs w:val="20"/>
        </w:rPr>
        <w:br/>
        <w:t>https://vip.1glv.ru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07.02.2023</w:t>
      </w:r>
    </w:p>
    <w:p w:rsidR="00261FBC" w:rsidRDefault="00261FBC">
      <w:bookmarkStart w:id="0" w:name="_GoBack"/>
      <w:bookmarkEnd w:id="0"/>
    </w:p>
    <w:sectPr w:rsidR="00261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E33AE"/>
    <w:multiLevelType w:val="multilevel"/>
    <w:tmpl w:val="8FB82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A0648F"/>
    <w:multiLevelType w:val="multilevel"/>
    <w:tmpl w:val="277AE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9C60A0"/>
    <w:multiLevelType w:val="multilevel"/>
    <w:tmpl w:val="511AC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4444F6"/>
    <w:multiLevelType w:val="multilevel"/>
    <w:tmpl w:val="CCA0A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153439"/>
    <w:multiLevelType w:val="multilevel"/>
    <w:tmpl w:val="3A1C9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3B536D"/>
    <w:multiLevelType w:val="multilevel"/>
    <w:tmpl w:val="67602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CF619A"/>
    <w:multiLevelType w:val="multilevel"/>
    <w:tmpl w:val="4FF84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0034C0"/>
    <w:multiLevelType w:val="multilevel"/>
    <w:tmpl w:val="AD30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47346D"/>
    <w:multiLevelType w:val="multilevel"/>
    <w:tmpl w:val="FE7EE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D09"/>
    <w:rsid w:val="00261FBC"/>
    <w:rsid w:val="0049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4A424-F085-428F-96E4-7AC9F5C3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D0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495D0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495D09"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95D0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95D09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495D0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95D09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495D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5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.minzdrav.gov.ru/recomend/683_1" TargetMode="External"/><Relationship Id="rId5" Type="http://schemas.openxmlformats.org/officeDocument/2006/relationships/hyperlink" Target="https://1cr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Г. Вдовин</dc:creator>
  <cp:keywords/>
  <dc:description/>
  <cp:lastModifiedBy>Александр Г. Вдовин</cp:lastModifiedBy>
  <cp:revision>1</cp:revision>
  <dcterms:created xsi:type="dcterms:W3CDTF">2023-02-07T04:10:00Z</dcterms:created>
  <dcterms:modified xsi:type="dcterms:W3CDTF">2023-02-07T04:11:00Z</dcterms:modified>
</cp:coreProperties>
</file>