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1A" w:rsidRDefault="00357F1A" w:rsidP="00357F1A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ведения детей с острым </w:t>
      </w:r>
      <w:proofErr w:type="spellStart"/>
      <w:r>
        <w:rPr>
          <w:rFonts w:eastAsia="Times New Roman"/>
        </w:rPr>
        <w:t>тонзиллофарингитом</w:t>
      </w:r>
      <w:proofErr w:type="spellEnd"/>
    </w:p>
    <w:p w:rsidR="00357F1A" w:rsidRDefault="00357F1A" w:rsidP="00357F1A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 xml:space="preserve">Острый тонзиллит и фарингит (Острый </w:t>
        </w:r>
        <w:proofErr w:type="spellStart"/>
        <w:r>
          <w:rPr>
            <w:rStyle w:val="a3"/>
            <w:rFonts w:eastAsia="Times New Roman"/>
          </w:rPr>
          <w:t>тонзиллофарингит</w:t>
        </w:r>
        <w:proofErr w:type="spellEnd"/>
        <w:r>
          <w:rPr>
            <w:rStyle w:val="a3"/>
            <w:rFonts w:eastAsia="Times New Roman"/>
          </w:rPr>
          <w:t>)</w:t>
        </w:r>
      </w:hyperlink>
      <w:r>
        <w:rPr>
          <w:rFonts w:eastAsia="Times New Roman"/>
        </w:rPr>
        <w:t xml:space="preserve">». 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 xml:space="preserve">Разработано на основе «Острый тонзиллит и фарингит (Острый </w:t>
      </w:r>
      <w:proofErr w:type="spellStart"/>
      <w:r>
        <w:rPr>
          <w:rStyle w:val="a5"/>
        </w:rPr>
        <w:t>тонзиллофарингит</w:t>
      </w:r>
      <w:proofErr w:type="spellEnd"/>
      <w:r>
        <w:rPr>
          <w:rStyle w:val="a5"/>
        </w:rPr>
        <w:t>):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6"/>
        <w:gridCol w:w="6913"/>
      </w:tblGrid>
      <w:tr w:rsidR="00357F1A" w:rsidTr="00357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F1A" w:rsidRDefault="00357F1A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F1A" w:rsidRDefault="00357F1A">
            <w:pPr>
              <w:pStyle w:val="a4"/>
            </w:pPr>
            <w:r>
              <w:t>дети</w:t>
            </w:r>
          </w:p>
        </w:tc>
      </w:tr>
      <w:tr w:rsidR="00357F1A" w:rsidTr="00357F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F1A" w:rsidRDefault="00357F1A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F1A" w:rsidRDefault="00357F1A">
            <w:pPr>
              <w:pStyle w:val="a4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, врач общей практики (семейный врач), врач-педиатр</w:t>
            </w:r>
          </w:p>
        </w:tc>
      </w:tr>
    </w:tbl>
    <w:p w:rsidR="00357F1A" w:rsidRDefault="00357F1A" w:rsidP="00357F1A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Прием (осмотр, консультация) врача-специалиста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первичный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участкового первичный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 общей практики (семейного врача) первичный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Жалобы и анамнез</w:t>
      </w:r>
    </w:p>
    <w:p w:rsidR="00357F1A" w:rsidRDefault="00357F1A" w:rsidP="00357F1A">
      <w:pPr>
        <w:pStyle w:val="a4"/>
        <w:spacing w:line="276" w:lineRule="auto"/>
      </w:pPr>
      <w:r>
        <w:t xml:space="preserve">Боль в горле, усиливающаяся при глотании, и лихорадка. При неосложненном течении, как правило, боль имеет симметричный характер. В раннем детском возрасте, при невозможности </w:t>
      </w:r>
      <w:proofErr w:type="spellStart"/>
      <w:r>
        <w:t>вербализовать</w:t>
      </w:r>
      <w:proofErr w:type="spellEnd"/>
      <w:r>
        <w:t xml:space="preserve"> или правильно описать болевые ощущения, обращает на себя внимание отказ ребенка от еды или от проглатывания пищи, предпочтение гомогенной или жидкой пищи.</w:t>
      </w:r>
    </w:p>
    <w:p w:rsidR="00357F1A" w:rsidRDefault="00357F1A" w:rsidP="00357F1A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Фарингоскопия</w:t>
      </w:r>
    </w:p>
    <w:p w:rsidR="00357F1A" w:rsidRDefault="00357F1A" w:rsidP="00357F1A">
      <w:pPr>
        <w:pStyle w:val="a4"/>
        <w:spacing w:line="276" w:lineRule="auto"/>
      </w:pPr>
      <w:r>
        <w:t>Небные миндалины гиперемированы, инфильтрированы, отечны, возможно появление экссудата (налетов) белого, грязно-белого или желтого цвета, задняя стенка глотки гиперемирована, язычок (</w:t>
      </w:r>
      <w:proofErr w:type="spellStart"/>
      <w:r>
        <w:t>увуля</w:t>
      </w:r>
      <w:proofErr w:type="spellEnd"/>
      <w:r>
        <w:t xml:space="preserve">) отечный. Миндалины, особенно у детей, могут увеличиваться в размерах. Увеличение миндалин при ОТФ носит симметричный характер, что позволяет дифференцировать ОТФ от </w:t>
      </w:r>
      <w:proofErr w:type="spellStart"/>
      <w:r>
        <w:t>паратонзиллярного</w:t>
      </w:r>
      <w:proofErr w:type="spellEnd"/>
      <w:r>
        <w:t xml:space="preserve"> абсцесса.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lastRenderedPageBreak/>
        <w:t>Общий (клинический) анализ крови развернутый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Не рекомендовано</w:t>
      </w:r>
      <w:r>
        <w:t xml:space="preserve"> рутинное проведение общего (клинического) анализа крови развернутого, исследование может быть проведено при необходимости, в </w:t>
      </w:r>
      <w:proofErr w:type="spellStart"/>
      <w:r>
        <w:t>т.ч</w:t>
      </w:r>
      <w:proofErr w:type="spellEnd"/>
      <w:r>
        <w:t>., при госпитализации в стационар и/или в рамках дифференциальной диагностики с инфекционным мононуклеозом.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357F1A" w:rsidRDefault="00357F1A" w:rsidP="00357F1A">
      <w:pPr>
        <w:pStyle w:val="a4"/>
        <w:spacing w:line="276" w:lineRule="auto"/>
      </w:pPr>
      <w:proofErr w:type="spellStart"/>
      <w:r>
        <w:rPr>
          <w:rStyle w:val="a5"/>
        </w:rPr>
        <w:t>Иммунохроматографическое</w:t>
      </w:r>
      <w:proofErr w:type="spellEnd"/>
      <w:r>
        <w:rPr>
          <w:rStyle w:val="a5"/>
        </w:rPr>
        <w:t xml:space="preserve"> экспресс-исследование мазка из зева на стрептококки группы А</w:t>
      </w:r>
    </w:p>
    <w:p w:rsidR="00357F1A" w:rsidRDefault="00357F1A" w:rsidP="00357F1A">
      <w:pPr>
        <w:pStyle w:val="a4"/>
        <w:spacing w:line="276" w:lineRule="auto"/>
      </w:pPr>
      <w:r>
        <w:t xml:space="preserve">При положительных результатах экспресс-теста нецелесообразно проводить </w:t>
      </w:r>
      <w:proofErr w:type="spellStart"/>
      <w:r>
        <w:t>культуральное</w:t>
      </w:r>
      <w:proofErr w:type="spellEnd"/>
      <w:r>
        <w:t xml:space="preserve"> исследование (Бактериологическое исследование отделяемого из зева на стрептококк группы A (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gr</w:t>
      </w:r>
      <w:proofErr w:type="spellEnd"/>
      <w:r>
        <w:t>. A) из-за высокой специфичности экспресс-</w:t>
      </w:r>
      <w:proofErr w:type="spellStart"/>
      <w:r>
        <w:t>диагностикиБГСА</w:t>
      </w:r>
      <w:proofErr w:type="spellEnd"/>
      <w:r>
        <w:t>-инфекции.</w:t>
      </w:r>
    </w:p>
    <w:p w:rsidR="00357F1A" w:rsidRDefault="00357F1A" w:rsidP="00357F1A">
      <w:pPr>
        <w:pStyle w:val="a4"/>
        <w:spacing w:line="276" w:lineRule="auto"/>
      </w:pPr>
      <w:r>
        <w:t xml:space="preserve">Отрицательный результат экспресс-теста у детей и подростков с подозрением на ОТФ, вызванный БГСА, следует подтвердить </w:t>
      </w:r>
      <w:proofErr w:type="spellStart"/>
      <w:r>
        <w:t>культуральным</w:t>
      </w:r>
      <w:proofErr w:type="spellEnd"/>
      <w:r>
        <w:t xml:space="preserve"> исследованием (Бактериологическое исследование отделяемого из зева на стрептококк группы A (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gr</w:t>
      </w:r>
      <w:proofErr w:type="spellEnd"/>
      <w:r>
        <w:t>. A).</w:t>
      </w:r>
    </w:p>
    <w:p w:rsidR="00357F1A" w:rsidRDefault="00357F1A" w:rsidP="00357F1A">
      <w:pPr>
        <w:pStyle w:val="a4"/>
        <w:spacing w:line="276" w:lineRule="auto"/>
      </w:pPr>
      <w:r>
        <w:t>Не следует рутинно проводить экспресс-тест (</w:t>
      </w:r>
      <w:proofErr w:type="spellStart"/>
      <w:r>
        <w:t>Иммунохроматографическое</w:t>
      </w:r>
      <w:proofErr w:type="spellEnd"/>
      <w:r>
        <w:t xml:space="preserve"> экспресс-исследование мазка из зева на стрептококки группы А) у детей до 3 лет из-за редкой встречаемости ОТФ, вызванного БГСА, в данной возрастной группе. Исключением является наличие факторов риска БГСА-тонзиллита у ребенка до 3 лет (например, заболевание старшего брата или сестры ОТФ, вызванным БГСА, т.е. соответствующее эпидемиологическое окружение)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Бактериологическое исследование слизи с миндалин и задней стенки глотки на аэробные и факультативно-анаэробные микроорганизмы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антибиотикам и другим лекарственным препаратам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Бактериологическое исследование слизи и пленок с миндалин на палочку дифтерии (</w:t>
      </w:r>
      <w:proofErr w:type="spellStart"/>
      <w:r>
        <w:rPr>
          <w:rStyle w:val="a5"/>
        </w:rPr>
        <w:t>Corinebacterium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diphtheriae</w:t>
      </w:r>
      <w:proofErr w:type="spellEnd"/>
      <w:r>
        <w:rPr>
          <w:rStyle w:val="a5"/>
        </w:rPr>
        <w:t>)</w:t>
      </w:r>
    </w:p>
    <w:p w:rsidR="00357F1A" w:rsidRDefault="00357F1A" w:rsidP="00357F1A">
      <w:pPr>
        <w:pStyle w:val="a4"/>
        <w:spacing w:line="276" w:lineRule="auto"/>
      </w:pPr>
      <w:r>
        <w:t>При невозможности проведения экспресс-диагностики (пациентам любого возраста) или при отрицательном результате экспресс-теста (детям).</w:t>
      </w:r>
    </w:p>
    <w:p w:rsidR="00357F1A" w:rsidRDefault="00357F1A" w:rsidP="00357F1A">
      <w:pPr>
        <w:pStyle w:val="a4"/>
        <w:spacing w:line="276" w:lineRule="auto"/>
      </w:pPr>
      <w:r>
        <w:t>Рутинное бактериологическое исследование не следует проводить у детей до 3 лет из-за редкой встречаемости ОТФ, вызванного БГСА, в данной возрастной группе. Исключением является наличие факторов риска БГСА-</w:t>
      </w:r>
      <w:proofErr w:type="spellStart"/>
      <w:r>
        <w:t>тонзиллофарингита</w:t>
      </w:r>
      <w:proofErr w:type="spellEnd"/>
      <w:r>
        <w:t xml:space="preserve"> у ребенка до 3 лет (например, заболевание старшего брата или </w:t>
      </w:r>
      <w:proofErr w:type="spellStart"/>
      <w:r>
        <w:t>сестрыОТФ</w:t>
      </w:r>
      <w:proofErr w:type="spellEnd"/>
      <w:r>
        <w:t>, вызванным БГСА, т.е. соответствующее эпидемиологическое окружение)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lastRenderedPageBreak/>
        <w:t>С-реактивный белок в сыворотке крови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Не рекомендуется</w:t>
      </w:r>
      <w:r>
        <w:t xml:space="preserve"> рутинное исследование С-реактивного белка при остром </w:t>
      </w:r>
      <w:proofErr w:type="spellStart"/>
      <w:r>
        <w:t>тонзиллофарингите</w:t>
      </w:r>
      <w:proofErr w:type="spellEnd"/>
      <w:r>
        <w:t>.</w:t>
      </w:r>
    </w:p>
    <w:p w:rsidR="00357F1A" w:rsidRDefault="00357F1A" w:rsidP="00357F1A">
      <w:pPr>
        <w:pStyle w:val="a4"/>
        <w:spacing w:line="276" w:lineRule="auto"/>
      </w:pPr>
      <w:proofErr w:type="spellStart"/>
      <w:r>
        <w:rPr>
          <w:rStyle w:val="a5"/>
        </w:rPr>
        <w:t>Антистрептолизин</w:t>
      </w:r>
      <w:proofErr w:type="spellEnd"/>
      <w:r>
        <w:rPr>
          <w:rStyle w:val="a5"/>
        </w:rPr>
        <w:t>-О в сыворотке крови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Не рекомендуется</w:t>
      </w:r>
      <w:r>
        <w:t xml:space="preserve"> рутинное определение </w:t>
      </w:r>
      <w:proofErr w:type="spellStart"/>
      <w:r>
        <w:t>антистрептолизина</w:t>
      </w:r>
      <w:proofErr w:type="spellEnd"/>
      <w:r>
        <w:t>-</w:t>
      </w:r>
      <w:proofErr w:type="gramStart"/>
      <w:r>
        <w:t>О</w:t>
      </w:r>
      <w:proofErr w:type="gramEnd"/>
      <w:r>
        <w:t xml:space="preserve"> в сыворотке крови при диагностике ОТФ, так как антитела появляются позднее и не являются свидетельством текущей инфекции.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ЭКГ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Иная диагностика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Дифференциальная диагностика</w:t>
      </w:r>
    </w:p>
    <w:p w:rsidR="00357F1A" w:rsidRDefault="00357F1A" w:rsidP="00357F1A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Прием (осмотр, консультация) и наблюдение врача-специалиста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повторный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Осмотр (консультация) врача-физиотерапевта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повторный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участкового повторный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повторный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участкового повторный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Прием (осмотр, консультация) врача общей практики (семейного врача) повторный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Внутримышечное введение лекарственных препаратов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Не рекомендовано</w:t>
      </w:r>
      <w:r>
        <w:t xml:space="preserve"> рутинное проведение общего (клинического) анализа крови развернутого, исследование может быть проведено при необходимости, в </w:t>
      </w:r>
      <w:proofErr w:type="spellStart"/>
      <w:r>
        <w:t>т.ч</w:t>
      </w:r>
      <w:proofErr w:type="spellEnd"/>
      <w:r>
        <w:t>., при госпитализации в стационар и/или в рамках дифференциальной диагностики с инфекционным мононуклеозом.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lastRenderedPageBreak/>
        <w:t>Анализ мочи общий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Немедикаментозное лечение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Воздействие коротким ультрафиолетовым излучением (КУФ)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Консервативное лечение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 вирусной инфекции антибактериальные препараты системного действия не рекомендованы.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Антибактериальные препараты системного действия</w:t>
      </w:r>
    </w:p>
    <w:p w:rsidR="00357F1A" w:rsidRDefault="00357F1A" w:rsidP="00357F1A">
      <w:pPr>
        <w:pStyle w:val="a4"/>
        <w:spacing w:line="276" w:lineRule="auto"/>
      </w:pPr>
      <w:r>
        <w:t>Назначаются только в случае доказанной бактериальной инфекции или высоко вероятной стрептококковой этиологии ОТФ.</w:t>
      </w:r>
    </w:p>
    <w:p w:rsidR="00357F1A" w:rsidRDefault="00357F1A" w:rsidP="00357F1A">
      <w:pPr>
        <w:pStyle w:val="a4"/>
        <w:spacing w:line="276" w:lineRule="auto"/>
      </w:pPr>
      <w:r>
        <w:t>Дозировки Амоксициллина — 50 мг/кг/</w:t>
      </w:r>
      <w:proofErr w:type="spellStart"/>
      <w:r>
        <w:t>сут</w:t>
      </w:r>
      <w:proofErr w:type="spellEnd"/>
      <w:r>
        <w:t xml:space="preserve"> в 2 приема, но не более 1000 мг в сутки, внутрь у детей, в течение 10 дней.</w:t>
      </w:r>
    </w:p>
    <w:p w:rsidR="00357F1A" w:rsidRDefault="00357F1A" w:rsidP="00357F1A">
      <w:pPr>
        <w:pStyle w:val="a4"/>
        <w:spacing w:line="276" w:lineRule="auto"/>
      </w:pPr>
      <w:r>
        <w:t xml:space="preserve">В настоящее время в качестве практически единственного показания к назначению антибактериальных препаратов системного действия у иммунокомпетентных лиц рассматривается БГСА-этиология </w:t>
      </w:r>
      <w:proofErr w:type="gramStart"/>
      <w:r>
        <w:t>ОТФ(</w:t>
      </w:r>
      <w:proofErr w:type="gramEnd"/>
      <w:r>
        <w:t>за исключением крайне редких случаев дифтерии, гонококкового тонзиллита, язвенно-некротической ангины Симановского-</w:t>
      </w:r>
      <w:proofErr w:type="spellStart"/>
      <w:r>
        <w:t>Плаута</w:t>
      </w:r>
      <w:proofErr w:type="spellEnd"/>
      <w:r>
        <w:t>-</w:t>
      </w:r>
      <w:proofErr w:type="spellStart"/>
      <w:r>
        <w:t>Венсана</w:t>
      </w:r>
      <w:proofErr w:type="spellEnd"/>
      <w:r>
        <w:t>).</w:t>
      </w:r>
    </w:p>
    <w:p w:rsidR="00357F1A" w:rsidRDefault="00357F1A" w:rsidP="00357F1A">
      <w:pPr>
        <w:pStyle w:val="a4"/>
        <w:spacing w:line="276" w:lineRule="auto"/>
      </w:pPr>
      <w:proofErr w:type="spellStart"/>
      <w:r>
        <w:rPr>
          <w:rStyle w:val="a5"/>
        </w:rPr>
        <w:t>Амоксициллин+клавулановая</w:t>
      </w:r>
      <w:proofErr w:type="spellEnd"/>
      <w:r>
        <w:rPr>
          <w:rStyle w:val="a5"/>
        </w:rPr>
        <w:t xml:space="preserve"> кислота или </w:t>
      </w:r>
      <w:proofErr w:type="spellStart"/>
      <w:r>
        <w:rPr>
          <w:rStyle w:val="a5"/>
        </w:rPr>
        <w:t>клиндамицин</w:t>
      </w:r>
      <w:proofErr w:type="spellEnd"/>
      <w:r>
        <w:rPr>
          <w:rStyle w:val="a5"/>
        </w:rPr>
        <w:t xml:space="preserve"> 10 дней</w:t>
      </w:r>
    </w:p>
    <w:p w:rsidR="00357F1A" w:rsidRDefault="00357F1A" w:rsidP="00357F1A">
      <w:pPr>
        <w:pStyle w:val="a4"/>
        <w:spacing w:line="276" w:lineRule="auto"/>
      </w:pPr>
      <w:r>
        <w:t xml:space="preserve">При рецидивирующем течении острых стрептококковых </w:t>
      </w:r>
      <w:proofErr w:type="spellStart"/>
      <w:r>
        <w:t>тонзиллофарингитов</w:t>
      </w:r>
      <w:proofErr w:type="spellEnd"/>
      <w:r>
        <w:t xml:space="preserve"> с целью преодоления механизмов, обуславливающих микробиологическую неэффективность предшествующего лечения.</w:t>
      </w:r>
    </w:p>
    <w:p w:rsidR="00357F1A" w:rsidRDefault="00357F1A" w:rsidP="00357F1A">
      <w:pPr>
        <w:pStyle w:val="a4"/>
        <w:spacing w:line="276" w:lineRule="auto"/>
      </w:pPr>
      <w:r>
        <w:t xml:space="preserve">Дозировки </w:t>
      </w:r>
      <w:proofErr w:type="spellStart"/>
      <w:r>
        <w:t>амоксициллин+клавулановая</w:t>
      </w:r>
      <w:proofErr w:type="spellEnd"/>
      <w:r>
        <w:t xml:space="preserve"> кислота: детям 12 лет и старше или с массой тела 40 кг и более в дозе 875/125 мг х 2 раза в день (для детей 40 мг/кг/</w:t>
      </w:r>
      <w:proofErr w:type="spellStart"/>
      <w:r>
        <w:t>сут</w:t>
      </w:r>
      <w:proofErr w:type="spellEnd"/>
      <w:r>
        <w:t xml:space="preserve"> по амоксициллину)</w:t>
      </w:r>
    </w:p>
    <w:p w:rsidR="00357F1A" w:rsidRDefault="00357F1A" w:rsidP="00357F1A">
      <w:pPr>
        <w:pStyle w:val="a4"/>
        <w:spacing w:line="276" w:lineRule="auto"/>
      </w:pPr>
      <w:r>
        <w:t xml:space="preserve">Дозировки </w:t>
      </w:r>
      <w:proofErr w:type="spellStart"/>
      <w:r>
        <w:t>клиндамицина</w:t>
      </w:r>
      <w:proofErr w:type="spellEnd"/>
      <w:r>
        <w:t>: дети старше 12 лет: 600-1800 мг/</w:t>
      </w:r>
      <w:proofErr w:type="spellStart"/>
      <w:r>
        <w:t>сут</w:t>
      </w:r>
      <w:proofErr w:type="spellEnd"/>
      <w:r>
        <w:t xml:space="preserve"> внутрь в 2, 3 или 4 приема (равные дозы).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При отсутствии положительной динамики (сохранение лихорадки и болевого синдрома) в течение 48-72 часов от момента начала антибактериальной терапии пересмотреть диагноз (вероятное течение ОРВИ, инфекционного мононуклеоза)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Цефалоспорины 2-го поколения и цефалоспорины 3-го поколения</w:t>
      </w:r>
    </w:p>
    <w:p w:rsidR="00357F1A" w:rsidRDefault="00357F1A" w:rsidP="00357F1A">
      <w:pPr>
        <w:pStyle w:val="a4"/>
        <w:spacing w:line="276" w:lineRule="auto"/>
      </w:pPr>
      <w:r>
        <w:t>При наличии в анамнезе аллергической реакции (за исключением анафилаксии) на бета-</w:t>
      </w:r>
      <w:proofErr w:type="spellStart"/>
      <w:r>
        <w:t>лактамные</w:t>
      </w:r>
      <w:proofErr w:type="spellEnd"/>
      <w:r>
        <w:t xml:space="preserve"> антибактериальные препараты (пенициллины).</w:t>
      </w:r>
    </w:p>
    <w:p w:rsidR="00357F1A" w:rsidRDefault="00357F1A" w:rsidP="00357F1A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Цефалексин</w:t>
      </w:r>
      <w:proofErr w:type="spellEnd"/>
      <w:r>
        <w:rPr>
          <w:rFonts w:eastAsia="Times New Roman"/>
        </w:rPr>
        <w:t>: дети старше 10 лет — 500 мг 2 раза в сутки, дети до 10 лет — 25-50 мг/кг/сутки в 2 приема, но не более 1000 мг в сутки в течение 10 дней (детям с 3 мес.).</w:t>
      </w:r>
    </w:p>
    <w:p w:rsidR="00357F1A" w:rsidRDefault="00357F1A" w:rsidP="00357F1A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Цефуроксим</w:t>
      </w:r>
      <w:proofErr w:type="spellEnd"/>
      <w:r>
        <w:rPr>
          <w:rFonts w:eastAsia="Times New Roman"/>
        </w:rPr>
        <w:t xml:space="preserve"> у детей старше 2 лет — разовая доза составляет 125 мг 2 раза в сутки, максимальная суточная доза 250 мг (детям с 3-6 месяцев: 40-60 мг 2 раза в сутки, с 6 месяцев до 2 лет: 60 −120 мг 2 раза в сутки). Длительность терапии — 10 дней.</w:t>
      </w:r>
    </w:p>
    <w:p w:rsidR="00357F1A" w:rsidRDefault="00357F1A" w:rsidP="00357F1A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Цефиксим</w:t>
      </w:r>
      <w:proofErr w:type="spellEnd"/>
    </w:p>
    <w:p w:rsidR="00357F1A" w:rsidRDefault="00357F1A" w:rsidP="00357F1A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Цефдиторен</w:t>
      </w:r>
      <w:proofErr w:type="spellEnd"/>
      <w:r>
        <w:rPr>
          <w:rFonts w:eastAsia="Times New Roman"/>
        </w:rPr>
        <w:t xml:space="preserve"> — дети старше 12 лет 200 мг 2 раза в сутки 10 дней (</w:t>
      </w:r>
      <w:r>
        <w:rPr>
          <w:rStyle w:val="a5"/>
          <w:rFonts w:eastAsia="Times New Roman"/>
        </w:rPr>
        <w:t>УУР — С, УДД — 2)</w:t>
      </w:r>
    </w:p>
    <w:p w:rsidR="00357F1A" w:rsidRDefault="00357F1A" w:rsidP="00357F1A">
      <w:pPr>
        <w:pStyle w:val="a4"/>
        <w:spacing w:line="276" w:lineRule="auto"/>
      </w:pPr>
      <w:r>
        <w:t> </w:t>
      </w:r>
    </w:p>
    <w:p w:rsidR="00357F1A" w:rsidRDefault="00357F1A" w:rsidP="00357F1A">
      <w:pPr>
        <w:pStyle w:val="a4"/>
        <w:spacing w:line="276" w:lineRule="auto"/>
      </w:pPr>
      <w:proofErr w:type="spellStart"/>
      <w:r>
        <w:rPr>
          <w:rStyle w:val="a5"/>
        </w:rPr>
        <w:t>Макролиды</w:t>
      </w:r>
      <w:proofErr w:type="spellEnd"/>
      <w:r>
        <w:rPr>
          <w:rStyle w:val="a5"/>
        </w:rPr>
        <w:t xml:space="preserve"> или </w:t>
      </w:r>
      <w:proofErr w:type="spellStart"/>
      <w:r>
        <w:rPr>
          <w:rStyle w:val="a5"/>
        </w:rPr>
        <w:t>линкозамиды</w:t>
      </w:r>
      <w:proofErr w:type="spellEnd"/>
    </w:p>
    <w:p w:rsidR="00357F1A" w:rsidRDefault="00357F1A" w:rsidP="00357F1A">
      <w:pPr>
        <w:pStyle w:val="a4"/>
        <w:spacing w:line="276" w:lineRule="auto"/>
      </w:pPr>
      <w:r>
        <w:t>В случае наличия в анамнезе анафилактических реакций или доказанной аллергии на бета-</w:t>
      </w:r>
      <w:proofErr w:type="spellStart"/>
      <w:r>
        <w:t>лактамные</w:t>
      </w:r>
      <w:proofErr w:type="spellEnd"/>
      <w:r>
        <w:t xml:space="preserve"> антибактериальные препараты (пенициллины и другие бета-</w:t>
      </w:r>
      <w:proofErr w:type="spellStart"/>
      <w:r>
        <w:t>лактамные</w:t>
      </w:r>
      <w:proofErr w:type="spellEnd"/>
      <w:r>
        <w:t xml:space="preserve"> антибактериальные препараты).</w:t>
      </w:r>
    </w:p>
    <w:p w:rsidR="00357F1A" w:rsidRDefault="00357F1A" w:rsidP="00357F1A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Кларитромицин</w:t>
      </w:r>
      <w:proofErr w:type="spellEnd"/>
      <w:r>
        <w:rPr>
          <w:rFonts w:eastAsia="Times New Roman"/>
        </w:rPr>
        <w:t xml:space="preserve"> 7,5 мг/кг 2 раза в сутки (максимальная — 500 мг 2 раза в день) внутрь у детей старше 12 лет, курс: 5-14 дней, детям 15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 xml:space="preserve"> в 2 приема, максимально 1000 мг/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>;</w:t>
      </w:r>
    </w:p>
    <w:p w:rsidR="00357F1A" w:rsidRDefault="00357F1A" w:rsidP="00357F1A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Клиндамицин</w:t>
      </w:r>
      <w:proofErr w:type="spellEnd"/>
      <w:r>
        <w:rPr>
          <w:rFonts w:eastAsia="Times New Roman"/>
        </w:rPr>
        <w:t xml:space="preserve"> дети старше 12 лет: 600-1800 мг/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 xml:space="preserve"> внутрь в 2, 3 или 4 приема (равные дозы)</w:t>
      </w:r>
    </w:p>
    <w:p w:rsidR="00357F1A" w:rsidRDefault="00357F1A" w:rsidP="00357F1A">
      <w:pPr>
        <w:pStyle w:val="a4"/>
        <w:spacing w:line="276" w:lineRule="auto"/>
      </w:pPr>
      <w:r>
        <w:t>Возможно применение в указанных в инструкции по медицинскому применению лекарственных препаратов дозировках других бета-</w:t>
      </w:r>
      <w:proofErr w:type="spellStart"/>
      <w:r>
        <w:t>лактамных</w:t>
      </w:r>
      <w:proofErr w:type="spellEnd"/>
      <w:r>
        <w:t xml:space="preserve"> антибактериальных </w:t>
      </w:r>
      <w:proofErr w:type="spellStart"/>
      <w:r>
        <w:t>препаратовв</w:t>
      </w:r>
      <w:proofErr w:type="spellEnd"/>
      <w:r>
        <w:t xml:space="preserve"> и </w:t>
      </w:r>
      <w:proofErr w:type="spellStart"/>
      <w:r>
        <w:t>макролидов</w:t>
      </w:r>
      <w:proofErr w:type="spellEnd"/>
      <w:r>
        <w:t xml:space="preserve">, имеющих в перечне показаний к применению диагноз «острый тонзиллит», «острый фарингит» или «ангина» (в том числе, </w:t>
      </w:r>
      <w:proofErr w:type="spellStart"/>
      <w:r>
        <w:t>джозамицин</w:t>
      </w:r>
      <w:proofErr w:type="spellEnd"/>
      <w:r>
        <w:t xml:space="preserve">, </w:t>
      </w:r>
      <w:proofErr w:type="spellStart"/>
      <w:r>
        <w:t>мидекамицин</w:t>
      </w:r>
      <w:proofErr w:type="spellEnd"/>
      <w:r>
        <w:t>).</w:t>
      </w:r>
    </w:p>
    <w:p w:rsidR="00357F1A" w:rsidRDefault="00357F1A" w:rsidP="00357F1A">
      <w:pPr>
        <w:pStyle w:val="a4"/>
        <w:spacing w:line="276" w:lineRule="auto"/>
      </w:pPr>
      <w:proofErr w:type="spellStart"/>
      <w:r>
        <w:rPr>
          <w:rStyle w:val="a5"/>
        </w:rPr>
        <w:t>Бензатина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бензилпенициллина</w:t>
      </w:r>
      <w:proofErr w:type="spellEnd"/>
    </w:p>
    <w:p w:rsidR="00357F1A" w:rsidRDefault="00357F1A" w:rsidP="00357F1A">
      <w:pPr>
        <w:pStyle w:val="a4"/>
        <w:spacing w:line="276" w:lineRule="auto"/>
      </w:pPr>
      <w:proofErr w:type="spellStart"/>
      <w:r>
        <w:t>Назначаетя</w:t>
      </w:r>
      <w:proofErr w:type="spellEnd"/>
      <w:r>
        <w:t xml:space="preserve"> только при наличии сомнений в </w:t>
      </w:r>
      <w:proofErr w:type="spellStart"/>
      <w:r>
        <w:t>комплаентности</w:t>
      </w:r>
      <w:proofErr w:type="spellEnd"/>
      <w:r>
        <w:t xml:space="preserve"> пациентов, в качестве альтернативы курсу пероральной антибактериальной терапии.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Не рекомендовано профилактическое назначение системных антибиотиков при вирусном ОТФ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Нестероидные противовоспалительные и противоревматические препараты (ибупрофен или другие анальгетики и антипиретики (парацетамол и или ацетилсалициловая кислота)</w:t>
      </w:r>
    </w:p>
    <w:p w:rsidR="00357F1A" w:rsidRDefault="00357F1A" w:rsidP="00357F1A">
      <w:pPr>
        <w:pStyle w:val="a4"/>
        <w:spacing w:line="276" w:lineRule="auto"/>
      </w:pPr>
      <w:r>
        <w:t xml:space="preserve">Следует предостеречь от необоснованного приема препаратов, оказывающих жаропонижающие действие здоровым детям старше 3 </w:t>
      </w:r>
      <w:proofErr w:type="spellStart"/>
      <w:r>
        <w:t>мес</w:t>
      </w:r>
      <w:proofErr w:type="spellEnd"/>
      <w:r>
        <w:t xml:space="preserve"> следует назначать в случае, если температура тела у ребенка превышает 39,0 °С (измеренная ректально) или 38,5 °С (измеренная </w:t>
      </w:r>
      <w:proofErr w:type="spellStart"/>
      <w:r>
        <w:t>субаксиллярно</w:t>
      </w:r>
      <w:proofErr w:type="spellEnd"/>
      <w:r>
        <w:t>) и/или при ломящих болях в мышцах и головной боли).</w:t>
      </w:r>
    </w:p>
    <w:p w:rsidR="00357F1A" w:rsidRDefault="00357F1A" w:rsidP="00357F1A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Дозы ибупрофена — 7,5 мг/кг у детей каждые 6-6-8 ч (максимально 30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>))</w:t>
      </w:r>
    </w:p>
    <w:p w:rsidR="00357F1A" w:rsidRDefault="00357F1A" w:rsidP="00357F1A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Дозы парацетамола — 10-15 мг/кг у детей каждые 6 ч (максимально 60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>))</w:t>
      </w:r>
    </w:p>
    <w:p w:rsidR="00357F1A" w:rsidRDefault="00357F1A" w:rsidP="00357F1A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Дозы ацетилсалициловой кислоты — у детей старше 15 лет 0,5-1 г (не более 3 г в сутки)</w:t>
      </w:r>
    </w:p>
    <w:p w:rsidR="00357F1A" w:rsidRDefault="00357F1A" w:rsidP="00357F1A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Кетопрофен</w:t>
      </w:r>
      <w:proofErr w:type="spellEnd"/>
      <w:r>
        <w:rPr>
          <w:rFonts w:eastAsia="Times New Roman"/>
        </w:rPr>
        <w:t xml:space="preserve"> с действующим веществом в виде </w:t>
      </w:r>
      <w:proofErr w:type="spellStart"/>
      <w:r>
        <w:rPr>
          <w:rFonts w:eastAsia="Times New Roman"/>
        </w:rPr>
        <w:t>кетопрофена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лизиновой</w:t>
      </w:r>
      <w:proofErr w:type="spellEnd"/>
      <w:r>
        <w:rPr>
          <w:rFonts w:eastAsia="Times New Roman"/>
        </w:rPr>
        <w:t xml:space="preserve"> соли имеет различные формы выпуска в частности, гранулы для приготовления раствора для приема внутрь, разрешённые к применению с целью купирования болевого синдрома у детей с 6 лет.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Топические препараты</w:t>
      </w:r>
    </w:p>
    <w:p w:rsidR="00357F1A" w:rsidRDefault="00357F1A" w:rsidP="00357F1A">
      <w:pPr>
        <w:pStyle w:val="a4"/>
        <w:spacing w:line="276" w:lineRule="auto"/>
      </w:pPr>
      <w:r>
        <w:t>Пациентам с ОТФ при выраженной боли в горле.</w:t>
      </w:r>
    </w:p>
    <w:p w:rsidR="00357F1A" w:rsidRDefault="00357F1A" w:rsidP="00357F1A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гексэтидин</w:t>
      </w:r>
      <w:proofErr w:type="spellEnd"/>
      <w:r>
        <w:rPr>
          <w:rFonts w:eastAsia="Times New Roman"/>
        </w:rPr>
        <w:t xml:space="preserve"> (противопоказан детям младше 3-х лет)</w:t>
      </w:r>
    </w:p>
    <w:p w:rsidR="00357F1A" w:rsidRDefault="00357F1A" w:rsidP="00357F1A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кетопрофен</w:t>
      </w:r>
      <w:proofErr w:type="spellEnd"/>
      <w:r>
        <w:rPr>
          <w:rFonts w:eastAsia="Times New Roman"/>
        </w:rPr>
        <w:t xml:space="preserve"> (противопоказан детям младше 12 лет),</w:t>
      </w:r>
    </w:p>
    <w:p w:rsidR="00357F1A" w:rsidRDefault="00357F1A" w:rsidP="00357F1A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бензидамина</w:t>
      </w:r>
      <w:proofErr w:type="spellEnd"/>
      <w:r>
        <w:rPr>
          <w:rFonts w:eastAsia="Times New Roman"/>
        </w:rPr>
        <w:t xml:space="preserve"> (противопоказан детям младше 3-х лет).</w:t>
      </w:r>
    </w:p>
    <w:p w:rsidR="00357F1A" w:rsidRDefault="00357F1A" w:rsidP="00357F1A">
      <w:pPr>
        <w:pStyle w:val="a4"/>
        <w:spacing w:line="276" w:lineRule="auto"/>
      </w:pPr>
      <w:r>
        <w:t>Ввиду риска реактивного ларингоспазма, топические препараты назначаются с возраста 2,5-3 лет. Американское общество семейных врачей не рекомендует применение препаратов безрецептурного отпуска детям до 4 лет.</w:t>
      </w:r>
    </w:p>
    <w:p w:rsidR="00357F1A" w:rsidRDefault="00357F1A" w:rsidP="00357F1A">
      <w:pPr>
        <w:pStyle w:val="a4"/>
        <w:spacing w:line="276" w:lineRule="auto"/>
      </w:pPr>
      <w:r>
        <w:t xml:space="preserve">При назначении </w:t>
      </w:r>
      <w:proofErr w:type="gramStart"/>
      <w:r>
        <w:t>местных препаратов</w:t>
      </w:r>
      <w:proofErr w:type="gramEnd"/>
      <w:r>
        <w:t xml:space="preserve"> обладающих антисептическим действием: грамицидин С+, </w:t>
      </w:r>
      <w:proofErr w:type="spellStart"/>
      <w:r>
        <w:t>гексэтидин</w:t>
      </w:r>
      <w:proofErr w:type="spellEnd"/>
      <w:r>
        <w:t xml:space="preserve">, </w:t>
      </w:r>
      <w:proofErr w:type="spellStart"/>
      <w:r>
        <w:t>лизоцим+пиридоксин</w:t>
      </w:r>
      <w:proofErr w:type="spellEnd"/>
      <w:r>
        <w:t xml:space="preserve">, </w:t>
      </w:r>
      <w:proofErr w:type="spellStart"/>
      <w:r>
        <w:t>амилметакрезол+дихлорбензиловый</w:t>
      </w:r>
      <w:proofErr w:type="spellEnd"/>
      <w:r>
        <w:t xml:space="preserve"> спирт, </w:t>
      </w:r>
      <w:proofErr w:type="spellStart"/>
      <w:r>
        <w:t>хлоргексидин</w:t>
      </w:r>
      <w:proofErr w:type="spellEnd"/>
      <w:r>
        <w:t xml:space="preserve">, препараты йода, </w:t>
      </w:r>
      <w:proofErr w:type="spellStart"/>
      <w:r>
        <w:t>бензилдиметил</w:t>
      </w:r>
      <w:proofErr w:type="spellEnd"/>
      <w:r>
        <w:t xml:space="preserve"> [3-(</w:t>
      </w:r>
      <w:proofErr w:type="spellStart"/>
      <w:r>
        <w:t>миристоиламино</w:t>
      </w:r>
      <w:proofErr w:type="spellEnd"/>
      <w:r>
        <w:t xml:space="preserve">)пропил] аммоний хлорид моногидрат, </w:t>
      </w:r>
      <w:proofErr w:type="spellStart"/>
      <w:r>
        <w:t>биклотимол</w:t>
      </w:r>
      <w:proofErr w:type="spellEnd"/>
      <w:r>
        <w:t xml:space="preserve"> и др., следует придерживаться разрешенной кратности приема и возрастных ограничений в связи с определенной токсичностью некоторых из них (</w:t>
      </w:r>
      <w:proofErr w:type="spellStart"/>
      <w:r>
        <w:t>хлоргексидин</w:t>
      </w:r>
      <w:proofErr w:type="spellEnd"/>
      <w:r>
        <w:t>) и учитывать возможность развития аллергических реакций (препараты йода).</w:t>
      </w:r>
    </w:p>
    <w:p w:rsidR="00357F1A" w:rsidRDefault="00357F1A" w:rsidP="00357F1A">
      <w:pPr>
        <w:pStyle w:val="a4"/>
        <w:spacing w:line="276" w:lineRule="auto"/>
      </w:pPr>
      <w:r>
        <w:t xml:space="preserve">Прочие препараты для лечения полости рта: </w:t>
      </w:r>
      <w:proofErr w:type="spellStart"/>
      <w:r>
        <w:t>бензидамин</w:t>
      </w:r>
      <w:proofErr w:type="spellEnd"/>
      <w:r>
        <w:t xml:space="preserve"> (противопоказан детям до 3-х лет), и прочие препараты для лечения заболеваний горла </w:t>
      </w:r>
      <w:proofErr w:type="spellStart"/>
      <w:r>
        <w:t>флурбипрофен</w:t>
      </w:r>
      <w:proofErr w:type="spellEnd"/>
      <w:r>
        <w:t xml:space="preserve"> (противопоказан детям до 12 лет), могут входить как в состав комплексных средств, так и применяться в виде </w:t>
      </w:r>
      <w:proofErr w:type="spellStart"/>
      <w:r>
        <w:t>монопрепаратов</w:t>
      </w:r>
      <w:proofErr w:type="spellEnd"/>
      <w:r>
        <w:t>.</w:t>
      </w:r>
    </w:p>
    <w:p w:rsidR="00357F1A" w:rsidRDefault="00357F1A" w:rsidP="00357F1A">
      <w:pPr>
        <w:pStyle w:val="a4"/>
        <w:spacing w:line="276" w:lineRule="auto"/>
      </w:pPr>
      <w:proofErr w:type="spellStart"/>
      <w:r>
        <w:rPr>
          <w:rStyle w:val="a5"/>
        </w:rPr>
        <w:t>Тонзилгон</w:t>
      </w:r>
      <w:proofErr w:type="spellEnd"/>
    </w:p>
    <w:p w:rsidR="00357F1A" w:rsidRDefault="00357F1A" w:rsidP="00357F1A">
      <w:pPr>
        <w:pStyle w:val="a4"/>
        <w:spacing w:line="276" w:lineRule="auto"/>
      </w:pPr>
      <w:r>
        <w:t xml:space="preserve">Этот </w:t>
      </w:r>
      <w:proofErr w:type="spellStart"/>
      <w:r>
        <w:t>фитопрепарат</w:t>
      </w:r>
      <w:proofErr w:type="spellEnd"/>
      <w:r>
        <w:t xml:space="preserve"> может быть назначен на продолжительный срок, беременным и пациентам с соматическими заболеваниями.</w:t>
      </w:r>
    </w:p>
    <w:p w:rsidR="00357F1A" w:rsidRDefault="00357F1A" w:rsidP="00357F1A">
      <w:pPr>
        <w:pStyle w:val="a4"/>
        <w:spacing w:line="276" w:lineRule="auto"/>
      </w:pPr>
      <w:proofErr w:type="spellStart"/>
      <w:r>
        <w:rPr>
          <w:rStyle w:val="a5"/>
        </w:rPr>
        <w:t>Пидотимод</w:t>
      </w:r>
      <w:proofErr w:type="spellEnd"/>
    </w:p>
    <w:p w:rsidR="00357F1A" w:rsidRDefault="00357F1A" w:rsidP="00357F1A">
      <w:pPr>
        <w:pStyle w:val="a4"/>
        <w:spacing w:line="276" w:lineRule="auto"/>
      </w:pPr>
      <w:r>
        <w:t>Пациентам с рецидивирующими формами ОТФ с целью профилактики рецидивов (противопоказан детям до 3-х лет).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lastRenderedPageBreak/>
        <w:t xml:space="preserve">Биологически активные добавки, содержащих в своем составе микроорганизмы, относящиеся к </w:t>
      </w:r>
      <w:proofErr w:type="spellStart"/>
      <w:r>
        <w:rPr>
          <w:rStyle w:val="a5"/>
        </w:rPr>
        <w:t>индигенным</w:t>
      </w:r>
      <w:proofErr w:type="spellEnd"/>
      <w:r>
        <w:rPr>
          <w:rStyle w:val="a5"/>
        </w:rPr>
        <w:t xml:space="preserve"> бактериям слизистой оболочки ротоглотки</w:t>
      </w:r>
    </w:p>
    <w:p w:rsidR="00357F1A" w:rsidRDefault="00357F1A" w:rsidP="00357F1A">
      <w:pPr>
        <w:pStyle w:val="a4"/>
        <w:spacing w:line="276" w:lineRule="auto"/>
      </w:pPr>
      <w:r>
        <w:t xml:space="preserve">Пациентам с рецидивирующими формами ОТФ с целью профилактики рецидивов, а также восстановления </w:t>
      </w:r>
      <w:proofErr w:type="spellStart"/>
      <w:r>
        <w:t>нормобиоты</w:t>
      </w:r>
      <w:proofErr w:type="spellEnd"/>
      <w:r>
        <w:t xml:space="preserve"> слизистой оболочки ротоглотки после перенесенного заболевания.</w:t>
      </w:r>
    </w:p>
    <w:p w:rsidR="00357F1A" w:rsidRDefault="00357F1A" w:rsidP="00357F1A">
      <w:pPr>
        <w:pStyle w:val="3"/>
        <w:spacing w:line="276" w:lineRule="auto"/>
      </w:pPr>
      <w:r>
        <w:rPr>
          <w:rFonts w:eastAsia="Times New Roman"/>
        </w:rPr>
        <w:t>Диетотерапия</w:t>
      </w:r>
    </w:p>
    <w:p w:rsidR="00357F1A" w:rsidRDefault="00357F1A" w:rsidP="00357F1A">
      <w:pPr>
        <w:pStyle w:val="a4"/>
        <w:spacing w:line="276" w:lineRule="auto"/>
      </w:pPr>
      <w:r>
        <w:rPr>
          <w:rStyle w:val="a5"/>
        </w:rPr>
        <w:t>Всем пациентам с ОТФ — ограничение раздражающей пищи (острое, кислое, соленое, горячее, холодное и т.д. при этом пища должна иметь мягкую консистенцию</w:t>
      </w:r>
    </w:p>
    <w:p w:rsidR="00357F1A" w:rsidRDefault="00357F1A" w:rsidP="00357F1A">
      <w:pPr>
        <w:pStyle w:val="a4"/>
        <w:spacing w:line="276" w:lineRule="auto"/>
      </w:pPr>
      <w:r>
        <w:t> </w:t>
      </w:r>
    </w:p>
    <w:p w:rsidR="00357F1A" w:rsidRDefault="00357F1A" w:rsidP="00357F1A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07.02.2023</w:t>
      </w:r>
    </w:p>
    <w:p w:rsidR="005416F2" w:rsidRDefault="005416F2">
      <w:bookmarkStart w:id="0" w:name="_GoBack"/>
      <w:bookmarkEnd w:id="0"/>
    </w:p>
    <w:sectPr w:rsidR="0054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19A"/>
    <w:multiLevelType w:val="multilevel"/>
    <w:tmpl w:val="478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D24C6"/>
    <w:multiLevelType w:val="multilevel"/>
    <w:tmpl w:val="DAE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654DC"/>
    <w:multiLevelType w:val="multilevel"/>
    <w:tmpl w:val="81EA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174ED"/>
    <w:multiLevelType w:val="multilevel"/>
    <w:tmpl w:val="16F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1A"/>
    <w:rsid w:val="00357F1A"/>
    <w:rsid w:val="005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7E284-6032-4FDA-8608-132995ED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57F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357F1A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7F1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7F1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57F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7F1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7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306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2023-02-07T04:10:00Z</dcterms:created>
  <dcterms:modified xsi:type="dcterms:W3CDTF">2023-02-07T04:10:00Z</dcterms:modified>
</cp:coreProperties>
</file>