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20" w:rsidRDefault="008F1920" w:rsidP="008F1920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детей с острым бронхитом</w:t>
      </w:r>
    </w:p>
    <w:p w:rsidR="008F1920" w:rsidRDefault="008F1920" w:rsidP="008F1920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Бронхит у детей</w:t>
        </w:r>
      </w:hyperlink>
      <w:r>
        <w:rPr>
          <w:rFonts w:eastAsia="Times New Roman"/>
        </w:rPr>
        <w:t xml:space="preserve">».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86"/>
        <w:gridCol w:w="5353"/>
      </w:tblGrid>
      <w:tr w:rsidR="008F1920" w:rsidTr="008F1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920" w:rsidRDefault="008F1920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920" w:rsidRDefault="008F1920">
            <w:pPr>
              <w:pStyle w:val="a4"/>
            </w:pPr>
            <w:r>
              <w:t>дети</w:t>
            </w:r>
          </w:p>
        </w:tc>
      </w:tr>
      <w:tr w:rsidR="008F1920" w:rsidTr="008F1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920" w:rsidRDefault="008F1920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1920" w:rsidRDefault="008F1920">
            <w:pPr>
              <w:pStyle w:val="a4"/>
            </w:pPr>
            <w:r>
              <w:t>врач-педиатр, врач-пульмонолог</w:t>
            </w:r>
          </w:p>
        </w:tc>
      </w:tr>
    </w:tbl>
    <w:p w:rsidR="008F1920" w:rsidRDefault="008F1920" w:rsidP="008F1920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8F1920" w:rsidRDefault="008F1920" w:rsidP="008F1920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первичный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8F1920" w:rsidRDefault="008F1920" w:rsidP="008F1920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кашель</w:t>
      </w:r>
    </w:p>
    <w:p w:rsidR="008F1920" w:rsidRDefault="008F1920" w:rsidP="008F1920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рассеянные симметричные влажные или сухие хрипы</w:t>
      </w:r>
    </w:p>
    <w:p w:rsidR="008F1920" w:rsidRDefault="008F1920" w:rsidP="008F1920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субфебрильная лихорадка</w:t>
      </w:r>
    </w:p>
    <w:p w:rsidR="008F1920" w:rsidRDefault="008F1920" w:rsidP="008F1920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отсутствие выраженной интоксикации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Физикальное обследование</w:t>
      </w:r>
    </w:p>
    <w:p w:rsidR="008F1920" w:rsidRDefault="008F1920" w:rsidP="008F1920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оценить наличие признаков интоксикации (вялость, отказ от еды и, особенно, от питья)</w:t>
      </w:r>
    </w:p>
    <w:p w:rsidR="008F1920" w:rsidRDefault="008F1920" w:rsidP="008F1920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оценить характер кашля</w:t>
      </w:r>
    </w:p>
    <w:p w:rsidR="008F1920" w:rsidRDefault="008F1920" w:rsidP="008F1920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провести визуальное исследование верхних дыхательных путей</w:t>
      </w:r>
    </w:p>
    <w:p w:rsidR="008F1920" w:rsidRDefault="008F1920" w:rsidP="008F1920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оценить признаки дыхательной недостаточности (участие вспомогательной мускулатуры в акте дыхания, западение уступчивых мест грудной клетки при дыхании)</w:t>
      </w:r>
    </w:p>
    <w:p w:rsidR="008F1920" w:rsidRDefault="008F1920" w:rsidP="008F1920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измерить частоту дыхательных движений), частоту сердечных сокращений</w:t>
      </w:r>
    </w:p>
    <w:p w:rsidR="008F1920" w:rsidRDefault="008F1920" w:rsidP="008F1920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провести перкуторное исследование легких</w:t>
      </w:r>
    </w:p>
    <w:p w:rsidR="008F1920" w:rsidRDefault="008F1920" w:rsidP="008F1920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провести аускультацию легких, обращая внимание на симметричность аускультативных изменений</w:t>
      </w:r>
    </w:p>
    <w:p w:rsidR="008F1920" w:rsidRDefault="008F1920" w:rsidP="008F1920">
      <w:pPr>
        <w:pStyle w:val="3"/>
        <w:spacing w:line="276" w:lineRule="auto"/>
      </w:pPr>
      <w:r>
        <w:rPr>
          <w:rFonts w:eastAsia="Times New Roman"/>
        </w:rPr>
        <w:t>Лабораторные методы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Определение антител классов А, М, G (IgA, IgM, IgG) к хламидии пневмонии (Chlamidia pneumoniae) в крови</w:t>
      </w:r>
    </w:p>
    <w:p w:rsidR="008F1920" w:rsidRDefault="008F1920" w:rsidP="008F1920">
      <w:pPr>
        <w:pStyle w:val="a4"/>
        <w:spacing w:line="276" w:lineRule="auto"/>
      </w:pPr>
      <w:r>
        <w:t>При наличии характерных клинических признаков Chlamidia pneumoniae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lastRenderedPageBreak/>
        <w:t>Молекулярно-биологическое исследование мазков со слизистой оболочки ротоглотки на Chlamydophila pneumoniae</w:t>
      </w:r>
    </w:p>
    <w:p w:rsidR="008F1920" w:rsidRDefault="008F1920" w:rsidP="008F1920">
      <w:pPr>
        <w:pStyle w:val="a4"/>
        <w:spacing w:line="276" w:lineRule="auto"/>
      </w:pPr>
      <w:r>
        <w:t>При наличии характерных клинических признаков Chlamidia pneumoniae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мазков со слизистой оболочки ротоглотки на Chlamydophila pneumoniae</w:t>
      </w:r>
    </w:p>
    <w:p w:rsidR="008F1920" w:rsidRDefault="008F1920" w:rsidP="008F1920">
      <w:pPr>
        <w:pStyle w:val="a4"/>
        <w:spacing w:line="276" w:lineRule="auto"/>
      </w:pPr>
      <w:r>
        <w:t>При наличии характерных клинических признаков Chlamidia pneumoniae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мокроты (индуцированной мокроты, фаринго-трахеальных аспиратов) на Chlamydophila pneumoniae</w:t>
      </w:r>
    </w:p>
    <w:p w:rsidR="008F1920" w:rsidRDefault="008F1920" w:rsidP="008F1920">
      <w:pPr>
        <w:pStyle w:val="a4"/>
        <w:spacing w:line="276" w:lineRule="auto"/>
      </w:pPr>
      <w:r>
        <w:t>При наличии характерных клинических признаков Chlamidia pneumoniaeC5</w:t>
      </w:r>
      <w:r>
        <w:rPr>
          <w:rStyle w:val="a5"/>
        </w:rPr>
        <w:t>Определение ДНК Chlamydophila pneumoniae в мокроте (индуцированной мокроте, фаринго-трахеальных аспиратах) методом ПЦР</w:t>
      </w:r>
    </w:p>
    <w:p w:rsidR="008F1920" w:rsidRDefault="008F1920" w:rsidP="008F1920">
      <w:pPr>
        <w:pStyle w:val="a4"/>
        <w:spacing w:line="276" w:lineRule="auto"/>
      </w:pPr>
      <w:r>
        <w:t>При наличии характерных клинических признаков Chlamidia pneumoniae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Определение антител к хламидии пневмонии (Chlamydophila pneumoniae) в крови</w:t>
      </w:r>
    </w:p>
    <w:p w:rsidR="008F1920" w:rsidRDefault="008F1920" w:rsidP="008F1920">
      <w:pPr>
        <w:pStyle w:val="a4"/>
        <w:spacing w:line="276" w:lineRule="auto"/>
      </w:pPr>
      <w:r>
        <w:t>При наличии характерных клинических признаков Chlamidia pneumoniae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Определение антител классов М, G (IgM, IgG) к микоплазме пневмонии (Mucoplasma pneumoniae) в крови</w:t>
      </w:r>
    </w:p>
    <w:p w:rsidR="008F1920" w:rsidRDefault="008F1920" w:rsidP="008F1920">
      <w:pPr>
        <w:pStyle w:val="a4"/>
        <w:spacing w:line="276" w:lineRule="auto"/>
      </w:pPr>
      <w:r>
        <w:t>При подозрении на данную инфекцию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Определение ДНК Mycoplasma pneumoniae в мокроте (индуцированной мокроте, фаринго-трахеальных аспиратах) методом ПЦР</w:t>
      </w:r>
    </w:p>
    <w:p w:rsidR="008F1920" w:rsidRDefault="008F1920" w:rsidP="008F1920">
      <w:pPr>
        <w:pStyle w:val="a4"/>
        <w:spacing w:line="276" w:lineRule="auto"/>
      </w:pPr>
      <w:r>
        <w:t>При подозрении на данную инфекцию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Определение ДНК Mycoplasma pneumoniae в мазках со слизистой оболочки носоглотки методом ПЦР</w:t>
      </w:r>
    </w:p>
    <w:p w:rsidR="008F1920" w:rsidRDefault="008F1920" w:rsidP="008F1920">
      <w:pPr>
        <w:pStyle w:val="a4"/>
        <w:spacing w:line="276" w:lineRule="auto"/>
      </w:pPr>
      <w:r>
        <w:t>При подозрении на данную инфекцию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8F1920" w:rsidRDefault="008F1920" w:rsidP="008F1920">
      <w:pPr>
        <w:pStyle w:val="a4"/>
        <w:spacing w:line="276" w:lineRule="auto"/>
      </w:pPr>
      <w:r>
        <w:t>Только в стационарных условиях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Исследование уровня С-реактивного белка в сыворотке крови</w:t>
      </w:r>
    </w:p>
    <w:p w:rsidR="008F1920" w:rsidRDefault="008F1920" w:rsidP="008F1920">
      <w:pPr>
        <w:pStyle w:val="a4"/>
        <w:spacing w:line="276" w:lineRule="auto"/>
      </w:pPr>
      <w:r>
        <w:lastRenderedPageBreak/>
        <w:t>Только в стационарных условиях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Иммунохроматографическое экспресс-исследование мазка из зева, носоглоточного аспирата или назального смыва на аденовирус</w:t>
      </w:r>
    </w:p>
    <w:p w:rsidR="008F1920" w:rsidRDefault="008F1920" w:rsidP="008F1920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только при необходимости</w:t>
      </w:r>
    </w:p>
    <w:p w:rsidR="008F1920" w:rsidRDefault="008F1920" w:rsidP="008F1920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позволяют уменьшить частоту неоправданного назначения антибактериальной терапии</w:t>
      </w:r>
    </w:p>
    <w:p w:rsidR="008F1920" w:rsidRDefault="008F1920" w:rsidP="008F1920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позволяет прогнозировать течение заболевания</w:t>
      </w:r>
    </w:p>
    <w:p w:rsidR="008F1920" w:rsidRDefault="008F1920" w:rsidP="008F1920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улучшает эффективность противоэпидемических мероприятий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Иммунохроматографическое экспресс-исследование носоглоточного мазка на вирус гриппа А</w:t>
      </w:r>
    </w:p>
    <w:p w:rsidR="008F1920" w:rsidRDefault="008F1920" w:rsidP="008F1920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только при необходимости</w:t>
      </w:r>
    </w:p>
    <w:p w:rsidR="008F1920" w:rsidRDefault="008F1920" w:rsidP="008F1920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позволяют уменьшить частоту неоправданного назначения антибактериальной терапии</w:t>
      </w:r>
    </w:p>
    <w:p w:rsidR="008F1920" w:rsidRDefault="008F1920" w:rsidP="008F1920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позволяет прогнозировать течение заболевания</w:t>
      </w:r>
    </w:p>
    <w:p w:rsidR="008F1920" w:rsidRDefault="008F1920" w:rsidP="008F1920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улучшает эффективность противоэпидемических мероприятий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Иммунохроматографическое экспресс-исследование носоглоточного мазка на вирус гриппа В</w:t>
      </w:r>
    </w:p>
    <w:p w:rsidR="008F1920" w:rsidRDefault="008F1920" w:rsidP="008F1920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только при необходимости</w:t>
      </w:r>
    </w:p>
    <w:p w:rsidR="008F1920" w:rsidRDefault="008F1920" w:rsidP="008F1920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позволяют уменьшить частоту неоправданного назначения антибактериальной терапии</w:t>
      </w:r>
    </w:p>
    <w:p w:rsidR="008F1920" w:rsidRDefault="008F1920" w:rsidP="008F1920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позволяет прогнозировать течение заболевания</w:t>
      </w:r>
    </w:p>
    <w:p w:rsidR="008F1920" w:rsidRDefault="008F1920" w:rsidP="008F1920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улучшает эффективность противоэпидемических мероприятий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Иммунохроматографическое экспресс-исследование носоглоточного мазка, аспирата или смыва на респираторно-синцитиальный вирус</w:t>
      </w:r>
    </w:p>
    <w:p w:rsidR="008F1920" w:rsidRDefault="008F1920" w:rsidP="008F1920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только при необходимости</w:t>
      </w:r>
    </w:p>
    <w:p w:rsidR="008F1920" w:rsidRDefault="008F1920" w:rsidP="008F1920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позволяют уменьшить частоту неоправданного назначения антибактериальной терапии</w:t>
      </w:r>
    </w:p>
    <w:p w:rsidR="008F1920" w:rsidRDefault="008F1920" w:rsidP="008F1920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позволяет прогнозировать течение заболевания</w:t>
      </w:r>
    </w:p>
    <w:p w:rsidR="008F1920" w:rsidRDefault="008F1920" w:rsidP="008F1920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улучшает эффективность противоэпидемических мероприятий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Определение ДНК возбудителей коклюша (Bordetella pertussis, Bordetella parapertussis, Bordetella bronchiseprica) в мазках со слизистой оболочки носоглотки методом ПЦР</w:t>
      </w:r>
    </w:p>
    <w:p w:rsidR="008F1920" w:rsidRDefault="008F1920" w:rsidP="008F1920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2 недели с момента дебюта заболевания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lastRenderedPageBreak/>
        <w:t>Определение ДНК возбудителей коклюша (Bordetella pertussis, Bordetella parapertussis, Bordetella bronchiseprica) в мазках со слизистой оболочки ротоглотки методом ПЦР</w:t>
      </w:r>
    </w:p>
    <w:p w:rsidR="008F1920" w:rsidRDefault="008F1920" w:rsidP="008F1920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2 недели с момента дебюта заболевания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Определение ДНК возбудителей коклюша (Bordetella pertussis, Bordetella parapertussis, Bordetella bronchiseprica) в мокроте (индуцированной мокроте, фаринго-трахеальных аспиратах) методом ПЦР</w:t>
      </w:r>
    </w:p>
    <w:p w:rsidR="008F1920" w:rsidRDefault="008F1920" w:rsidP="008F1920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2 недели с момента дебюта заболевания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Определение антител к возбудителю коклюша (Bordetella pertussis) в крови</w:t>
      </w:r>
    </w:p>
    <w:p w:rsidR="008F1920" w:rsidRDefault="008F1920" w:rsidP="008F1920">
      <w:pPr>
        <w:pStyle w:val="a4"/>
        <w:spacing w:line="276" w:lineRule="auto"/>
      </w:pPr>
      <w:r>
        <w:t>со 2 недели с момента начала кашля,</w:t>
      </w:r>
    </w:p>
    <w:p w:rsidR="008F1920" w:rsidRDefault="008F1920" w:rsidP="008F1920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Рентгенография легких</w:t>
      </w:r>
    </w:p>
    <w:p w:rsidR="008F1920" w:rsidRDefault="008F1920" w:rsidP="008F1920">
      <w:pPr>
        <w:pStyle w:val="a4"/>
        <w:spacing w:line="276" w:lineRule="auto"/>
      </w:pPr>
      <w:r>
        <w:t>При наличии подозрения на пневмонию для ее исключения или подтверждения при соответствующих признаках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Пульсоксиметрия</w:t>
      </w:r>
    </w:p>
    <w:p w:rsidR="008F1920" w:rsidRDefault="008F1920" w:rsidP="008F1920">
      <w:pPr>
        <w:pStyle w:val="a4"/>
        <w:spacing w:line="276" w:lineRule="auto"/>
      </w:pPr>
      <w:r>
        <w:t>Детям с клиническими признаками дыхательной недостаточности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Исследование неспровоцированных дыхательных объемов и потоков</w:t>
      </w:r>
    </w:p>
    <w:p w:rsidR="008F1920" w:rsidRDefault="008F1920" w:rsidP="008F1920">
      <w:pPr>
        <w:pStyle w:val="a4"/>
        <w:spacing w:line="276" w:lineRule="auto"/>
      </w:pPr>
      <w:r>
        <w:t>При наличии синдрома бронхиальной обструкции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Исследование дыхательных объемов с применением лекарственных препаратов</w:t>
      </w:r>
    </w:p>
    <w:p w:rsidR="008F1920" w:rsidRDefault="008F1920" w:rsidP="008F1920">
      <w:pPr>
        <w:pStyle w:val="a4"/>
        <w:spacing w:line="276" w:lineRule="auto"/>
      </w:pPr>
      <w:r>
        <w:t>При наличии синдрома бронхиальной обструкции</w:t>
      </w:r>
    </w:p>
    <w:p w:rsidR="008F1920" w:rsidRDefault="008F1920" w:rsidP="008F1920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8F1920" w:rsidRDefault="008F1920" w:rsidP="008F1920">
      <w:pPr>
        <w:pStyle w:val="3"/>
        <w:spacing w:line="276" w:lineRule="auto"/>
      </w:pPr>
      <w:r>
        <w:rPr>
          <w:rFonts w:eastAsia="Times New Roman"/>
        </w:rPr>
        <w:t>Наблюдение врачами-специалистами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повторный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Осмотр (консультация) врача-физиотерапевта</w:t>
      </w:r>
    </w:p>
    <w:p w:rsidR="008F1920" w:rsidRDefault="008F1920" w:rsidP="008F1920">
      <w:pPr>
        <w:pStyle w:val="3"/>
        <w:spacing w:line="276" w:lineRule="auto"/>
      </w:pPr>
      <w:r>
        <w:rPr>
          <w:rFonts w:eastAsia="Times New Roman"/>
        </w:rPr>
        <w:t>Лабораторные методы контроля за лечением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Общий (клинический) анализ крови развернутый</w:t>
      </w:r>
    </w:p>
    <w:p w:rsidR="008F1920" w:rsidRDefault="008F1920" w:rsidP="008F1920">
      <w:pPr>
        <w:pStyle w:val="a4"/>
        <w:spacing w:line="276" w:lineRule="auto"/>
      </w:pPr>
      <w:r>
        <w:lastRenderedPageBreak/>
        <w:t>Только в стационарных условиях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8F1920" w:rsidRDefault="008F1920" w:rsidP="008F1920">
      <w:pPr>
        <w:pStyle w:val="3"/>
        <w:spacing w:line="276" w:lineRule="auto"/>
      </w:pPr>
      <w:r>
        <w:rPr>
          <w:rFonts w:eastAsia="Times New Roman"/>
        </w:rPr>
        <w:t>Инструментальные методы контроля за лечением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Рентгенография легких</w:t>
      </w:r>
    </w:p>
    <w:p w:rsidR="008F1920" w:rsidRDefault="008F1920" w:rsidP="008F1920">
      <w:pPr>
        <w:pStyle w:val="a4"/>
        <w:spacing w:line="276" w:lineRule="auto"/>
      </w:pPr>
      <w:r>
        <w:t>При наличии подозрения на пневмонию для ее исключения или подтверждения при соответствующих признаках</w:t>
      </w:r>
    </w:p>
    <w:p w:rsidR="008F1920" w:rsidRDefault="008F1920" w:rsidP="008F1920">
      <w:pPr>
        <w:pStyle w:val="3"/>
        <w:spacing w:line="276" w:lineRule="auto"/>
      </w:pPr>
      <w:r>
        <w:rPr>
          <w:rFonts w:eastAsia="Times New Roman"/>
        </w:rPr>
        <w:t>Консервативные методы лечения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Диетотерапия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Обильное теплое питье</w:t>
      </w:r>
    </w:p>
    <w:p w:rsidR="008F1920" w:rsidRDefault="008F1920" w:rsidP="008F1920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до 100 мл/кг/сутки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Физические методы охлаждения</w:t>
      </w:r>
    </w:p>
    <w:p w:rsidR="008F1920" w:rsidRDefault="008F1920" w:rsidP="008F1920">
      <w:pPr>
        <w:pStyle w:val="a4"/>
        <w:spacing w:line="276" w:lineRule="auto"/>
      </w:pPr>
      <w:r>
        <w:t>При повышении температуры тела &gt; 39-39,5 °C</w:t>
      </w:r>
    </w:p>
    <w:p w:rsidR="008F1920" w:rsidRDefault="008F1920" w:rsidP="008F1920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раскрыть ребенка</w:t>
      </w:r>
    </w:p>
    <w:p w:rsidR="008F1920" w:rsidRDefault="008F1920" w:rsidP="008F1920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обтереть водой температуры 25-30 °C</w:t>
      </w:r>
    </w:p>
    <w:p w:rsidR="008F1920" w:rsidRDefault="008F1920" w:rsidP="008F1920">
      <w:pPr>
        <w:pStyle w:val="3"/>
        <w:spacing w:line="276" w:lineRule="auto"/>
      </w:pPr>
      <w:r>
        <w:rPr>
          <w:rFonts w:eastAsia="Times New Roman"/>
        </w:rPr>
        <w:t>Медикаментозные методы лечения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Нестероидный противовоспалительный препарат</w:t>
      </w:r>
    </w:p>
    <w:p w:rsidR="008F1920" w:rsidRDefault="008F1920" w:rsidP="008F1920">
      <w:pPr>
        <w:pStyle w:val="a4"/>
        <w:spacing w:line="276" w:lineRule="auto"/>
      </w:pPr>
      <w:r>
        <w:t>При повышении температуры тела &gt; 39-39,5 °C</w:t>
      </w:r>
    </w:p>
    <w:p w:rsidR="008F1920" w:rsidRDefault="008F1920" w:rsidP="008F1920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Ибупрофен (7,5 мг/кг каждые 6-8 ч (максимально 30 мг/кг/сут)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Селективные β</w:t>
      </w:r>
      <w:r>
        <w:rPr>
          <w:rStyle w:val="a5"/>
          <w:vertAlign w:val="subscript"/>
        </w:rPr>
        <w:t>2</w:t>
      </w:r>
      <w:r>
        <w:rPr>
          <w:rStyle w:val="a5"/>
        </w:rPr>
        <w:t>-адреномиметики</w:t>
      </w:r>
    </w:p>
    <w:p w:rsidR="008F1920" w:rsidRDefault="008F1920" w:rsidP="008F1920">
      <w:pPr>
        <w:pStyle w:val="a4"/>
        <w:spacing w:line="276" w:lineRule="auto"/>
      </w:pPr>
      <w:r>
        <w:t>При наличии синдрома бронхиальной обструкции</w:t>
      </w:r>
    </w:p>
    <w:p w:rsidR="008F1920" w:rsidRDefault="008F1920" w:rsidP="008F1920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Сальбутамол (дети и подростки старше 12 лет – ингаляционно с помощью дозированного ингалятора по 1-2 вдоха (100-200 мкг) не более 6 раз в сутки, с помощью небулайзера по 2,5-5 мг в 0,9% растворе натрия хлорида не чаще 4 раз в сутки; дети до 12 лет – с помощью небулайзера по 2,5мг (не более 5 мг) в 0,9% растворе натрия хлорида не чаще 4 раз в сутки)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 xml:space="preserve">Бета-адреномиметики в комбинациях </w:t>
      </w:r>
    </w:p>
    <w:p w:rsidR="008F1920" w:rsidRDefault="008F1920" w:rsidP="008F1920">
      <w:pPr>
        <w:pStyle w:val="a4"/>
        <w:spacing w:line="276" w:lineRule="auto"/>
      </w:pPr>
      <w:r>
        <w:lastRenderedPageBreak/>
        <w:t>При наличии синдрома бронхиальной обструкции</w:t>
      </w:r>
    </w:p>
    <w:p w:rsidR="008F1920" w:rsidRDefault="008F1920" w:rsidP="008F1920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Ипратропия бромид + Фенотерол (с помощью небулайзера: дети и подростки старше 12 лет - 1 мл (1 мл=20 капель) - 2,5 мл (2,5 мл=50 капель) в 0,9% растворе натрия хлорида; дети 6-12 лет - 0,5 мл (0,5 мл=10 капель) - 2 мл (2 мл=40 капель) в 0,9% растворе натрия хлорида, дети до 6 лет - 0,1 мл (2 капли) на кг массы тела, но не более 0,5 мл (10 капель) в 0,9% растворе натрия хлорида; ингаляционно с помощью дозированного ингалятора: дети старше 6 лет – 1-2 вдоха (0,05-0,1 мг фенотерола/0,02-0,04 мг ипратропия бромида) коротким курсом (обычно до 5 дней))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Глюкокортикоиды</w:t>
      </w:r>
    </w:p>
    <w:p w:rsidR="008F1920" w:rsidRDefault="008F1920" w:rsidP="008F1920">
      <w:pPr>
        <w:pStyle w:val="a4"/>
        <w:spacing w:line="276" w:lineRule="auto"/>
      </w:pPr>
      <w:r>
        <w:t>Детям с бронхиальной обструкцией на фоне</w:t>
      </w:r>
    </w:p>
    <w:p w:rsidR="008F1920" w:rsidRDefault="008F1920" w:rsidP="008F1920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Будесонид</w:t>
      </w:r>
    </w:p>
    <w:p w:rsidR="008F1920" w:rsidRDefault="008F1920" w:rsidP="008F1920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Флутиказон</w:t>
      </w:r>
    </w:p>
    <w:p w:rsidR="008F1920" w:rsidRDefault="008F1920" w:rsidP="008F1920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Беклометазон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Макролиды</w:t>
      </w:r>
    </w:p>
    <w:p w:rsidR="008F1920" w:rsidRDefault="008F1920" w:rsidP="008F1920">
      <w:pPr>
        <w:pStyle w:val="a4"/>
        <w:spacing w:line="276" w:lineRule="auto"/>
      </w:pPr>
      <w:r>
        <w:t>При подозрении на бронхит, вызванный M. pneumoniae или C. pneumoniae</w:t>
      </w:r>
    </w:p>
    <w:p w:rsidR="008F1920" w:rsidRDefault="008F1920" w:rsidP="008F1920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Азитромицин (10 мг/кг/сутки внутрь в 1 прием (максимально 500 мг/сутки) в течение 3-5 дней)</w:t>
      </w:r>
    </w:p>
    <w:p w:rsidR="008F1920" w:rsidRDefault="008F1920" w:rsidP="008F1920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Кларитромицин (7,5 мг/кг 2 раза в сутки (15 мг/кг/сутки) (максимально 1000 мг/сутки))</w:t>
      </w:r>
    </w:p>
    <w:p w:rsidR="008F1920" w:rsidRDefault="008F1920" w:rsidP="008F1920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Доксициклин (дети 8-12 лет (масса тела &lt;50 кг) – 4 мг/кг в 1 день, затем 2 мк/кг в 1-2 приема, дети с массой тела &gt; 50 кг – 200 мг/сутки в 1-2 приема в 1 день, затем 100 мг 1 раз в сутки)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Анилиды</w:t>
      </w:r>
    </w:p>
    <w:p w:rsidR="008F1920" w:rsidRDefault="008F1920" w:rsidP="008F1920">
      <w:pPr>
        <w:pStyle w:val="a4"/>
        <w:spacing w:line="276" w:lineRule="auto"/>
      </w:pPr>
      <w:r>
        <w:t>При повышении температуры тела &gt; 39-39,5 °C</w:t>
      </w:r>
    </w:p>
    <w:p w:rsidR="008F1920" w:rsidRDefault="008F1920" w:rsidP="008F1920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Парацетамол (10-15 мг/кг каждые 6 ч (максимально 60 мг/кг/сут)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Муколитические препараты</w:t>
      </w:r>
    </w:p>
    <w:p w:rsidR="008F1920" w:rsidRDefault="008F1920" w:rsidP="008F1920">
      <w:pPr>
        <w:pStyle w:val="a4"/>
        <w:spacing w:line="276" w:lineRule="auto"/>
      </w:pPr>
      <w:r>
        <w:t>При вязкой, трудно отделяемой мокроте</w:t>
      </w:r>
    </w:p>
    <w:p w:rsidR="008F1920" w:rsidRDefault="008F1920" w:rsidP="008F1920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Амброксол (таблетки или сироп: детям старше 12 лет — по 30 мг 3 раза в сутки в первые 2-3 дня, затем по 30 мг 2 раза в сутки или по 15 мг 3 раза в сутки, детям 6-12 лет – по 15 мг 2-3 раза в сутки; сироп: детям от 2 до б лет — по 7,5 мг 3 раза в день, детям в возрасте до 2 лет: по 7,5 мг 2 раза в день) внутрь или ингаляционно </w:t>
      </w:r>
      <w:r>
        <w:rPr>
          <w:rFonts w:eastAsia="Times New Roman"/>
        </w:rPr>
        <w:lastRenderedPageBreak/>
        <w:t>(раствор для ингаляций: детям старше 6 лет – 1-2 ингаляции по 2-3 мл раствора в сутки, детям до 6 лет – 1-2 ингаляции по 2 мл раствора в сутки)</w:t>
      </w:r>
    </w:p>
    <w:p w:rsidR="008F1920" w:rsidRDefault="008F1920" w:rsidP="008F1920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Ацетилцистеин (подросткам в возрасте старше 14 лет – 400-600 мг в сутки в 2-3 приема, детям в возрасте 6-14 лет – 300-400 мг в сутки в 2-3 приема, детям в возрасте 2-5 лет – 200-300 мг в сутки в 2-3 приема, детям в возрасте до 2 лет – 100мг 2 раза в сутки)</w:t>
      </w:r>
    </w:p>
    <w:p w:rsidR="008F1920" w:rsidRDefault="008F1920" w:rsidP="008F1920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Карбоцистеин (в виде сиропа 20мг/мл (1 ч.л.- 100 мг): детям в возрасте 2-5 лет – по 100 мг 2 раза в день (200 мг в сутки), детям старше 5 лет: по 100 мг 3 раза в день (300 мг в сутки). Детям старше 15 лет возможно применение карбоцистеина в виде капсул дозировкой 375 мг, по 2 капсулы (750 мг) х 3 раза в сутки (2250 мг в сутки), либо в виде сиропа дозировкой 50 мг/мл по 1 ст.л (750мг) х 3 раза в сутки (2250 мг/сут) с последующим снижением суточной дозы препарата до 1 500 мг при достижении клинического эффекта)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Отхаркивающие средства</w:t>
      </w:r>
    </w:p>
    <w:p w:rsidR="008F1920" w:rsidRDefault="008F1920" w:rsidP="008F1920">
      <w:pPr>
        <w:pStyle w:val="a4"/>
        <w:spacing w:line="276" w:lineRule="auto"/>
      </w:pPr>
      <w:r>
        <w:t>Детям с признаками острого бронхита и наличием продуктивного кашля, в случае отсутствия противопоказаний</w:t>
      </w:r>
    </w:p>
    <w:p w:rsidR="008F1920" w:rsidRDefault="008F1920" w:rsidP="008F1920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Экстракт корней Пеларгонии сидовидной (детям с 1 г до 6 лет по 5 – 10 кап х 3 раза в день, с 6 до 12 лет – 10-20 капель х 3 раза в день, детям старше 12 лет – 20-30 кап х 3 раза в день)</w:t>
      </w:r>
    </w:p>
    <w:p w:rsidR="008F1920" w:rsidRDefault="008F1920" w:rsidP="008F1920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Плюща листьев экстракт (для детей с 2-х летнего возраста: дети от 2 до 4 лет – 16 кап х 3 раза в день, от 4 до 10 лет - 21 кап х 3 раза в день, дети от 10 лет – по 31 кап х 3 раза в день) и в виде сиропа (применяется у детей с грудного возраста: от 0 до 1 года – по 2,5 мл в сутки, от 1 до 4 лет по 2,5 мл х 3 раза в сутки, от 4 до 10 лет – по 2,5 мл х 4 раза в сутки, дети старше 10 лет по 5 мл х 3 раза в сутки)</w:t>
      </w:r>
    </w:p>
    <w:p w:rsidR="008F1920" w:rsidRDefault="008F1920" w:rsidP="008F1920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Первоцвета корней экстракт + Тимьяна обыкновенного травы экстракт (по 1 таб х 3 раза в день)</w:t>
      </w:r>
    </w:p>
    <w:p w:rsidR="008F1920" w:rsidRDefault="008F1920" w:rsidP="008F1920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Плюща листьев экстракт + Тимьяна обыкновенного травы экстракт (дети от 1 до 2 лет – 2,2 мл х 3 раза в день; от 2 до 6 лет – 3,2 мл х 3 раза в день, от 6 до 12 лет – 4,3 мл х 3 раза в день; старше 12 лет – 5,4 мл х 3 раза в сутки)</w:t>
      </w:r>
    </w:p>
    <w:p w:rsidR="008F1920" w:rsidRDefault="008F1920" w:rsidP="008F1920">
      <w:pPr>
        <w:pStyle w:val="3"/>
        <w:spacing w:line="276" w:lineRule="auto"/>
      </w:pPr>
      <w:r>
        <w:rPr>
          <w:rFonts w:eastAsia="Times New Roman"/>
        </w:rPr>
        <w:t>Немедикаментозные методы лечения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Ингаляторное введение лекарственных препаратов через небулайзер</w:t>
      </w:r>
    </w:p>
    <w:p w:rsidR="008F1920" w:rsidRDefault="008F1920" w:rsidP="008F1920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Профилактика и диспансерное наблюдение</w:t>
      </w:r>
    </w:p>
    <w:p w:rsidR="008F1920" w:rsidRDefault="008F1920" w:rsidP="008F1920">
      <w:pPr>
        <w:pStyle w:val="a4"/>
        <w:spacing w:line="276" w:lineRule="auto"/>
      </w:pPr>
      <w:r>
        <w:rPr>
          <w:rStyle w:val="a5"/>
        </w:rPr>
        <w:t>Вакцинация</w:t>
      </w:r>
    </w:p>
    <w:p w:rsidR="008F1920" w:rsidRDefault="008F1920" w:rsidP="008F1920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 вакциноуправляемых вирусных инфекций</w:t>
      </w:r>
    </w:p>
    <w:p w:rsidR="008F1920" w:rsidRDefault="008F1920" w:rsidP="008F1920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 пневмококковой и гемофильной инфекций</w:t>
      </w:r>
    </w:p>
    <w:p w:rsidR="008F1920" w:rsidRDefault="008F1920" w:rsidP="008F1920">
      <w:pPr>
        <w:pStyle w:val="a4"/>
        <w:spacing w:line="276" w:lineRule="auto"/>
      </w:pPr>
      <w:r>
        <w:lastRenderedPageBreak/>
        <w:t> </w:t>
      </w:r>
    </w:p>
    <w:p w:rsidR="008F1920" w:rsidRDefault="008F1920" w:rsidP="008F1920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07.02.2023</w:t>
      </w:r>
    </w:p>
    <w:p w:rsidR="00516686" w:rsidRDefault="00516686">
      <w:bookmarkStart w:id="0" w:name="_GoBack"/>
      <w:bookmarkEnd w:id="0"/>
    </w:p>
    <w:sectPr w:rsidR="0051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689"/>
    <w:multiLevelType w:val="multilevel"/>
    <w:tmpl w:val="EE8A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A42C0"/>
    <w:multiLevelType w:val="multilevel"/>
    <w:tmpl w:val="F73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B3C58"/>
    <w:multiLevelType w:val="multilevel"/>
    <w:tmpl w:val="742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E0B76"/>
    <w:multiLevelType w:val="multilevel"/>
    <w:tmpl w:val="B6B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62ED8"/>
    <w:multiLevelType w:val="multilevel"/>
    <w:tmpl w:val="9784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00D96"/>
    <w:multiLevelType w:val="multilevel"/>
    <w:tmpl w:val="D22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44F7B"/>
    <w:multiLevelType w:val="multilevel"/>
    <w:tmpl w:val="C0B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16D9E"/>
    <w:multiLevelType w:val="multilevel"/>
    <w:tmpl w:val="409C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A23FD"/>
    <w:multiLevelType w:val="multilevel"/>
    <w:tmpl w:val="A54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56F47"/>
    <w:multiLevelType w:val="multilevel"/>
    <w:tmpl w:val="923A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C5024"/>
    <w:multiLevelType w:val="multilevel"/>
    <w:tmpl w:val="717A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A56A5"/>
    <w:multiLevelType w:val="multilevel"/>
    <w:tmpl w:val="64DA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03C0F"/>
    <w:multiLevelType w:val="multilevel"/>
    <w:tmpl w:val="B4A6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B488F"/>
    <w:multiLevelType w:val="multilevel"/>
    <w:tmpl w:val="9380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61EFB"/>
    <w:multiLevelType w:val="multilevel"/>
    <w:tmpl w:val="556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C5490"/>
    <w:multiLevelType w:val="multilevel"/>
    <w:tmpl w:val="B65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75174"/>
    <w:multiLevelType w:val="multilevel"/>
    <w:tmpl w:val="4E8E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505759"/>
    <w:multiLevelType w:val="multilevel"/>
    <w:tmpl w:val="655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B391A"/>
    <w:multiLevelType w:val="multilevel"/>
    <w:tmpl w:val="91E2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6775D"/>
    <w:multiLevelType w:val="multilevel"/>
    <w:tmpl w:val="FEF6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20"/>
    <w:rsid w:val="00516686"/>
    <w:rsid w:val="008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26D1-AA0A-442E-9E2B-8B5DCABD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F19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F1920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F192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192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F19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192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F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381_2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2023-02-07T04:11:00Z</dcterms:created>
  <dcterms:modified xsi:type="dcterms:W3CDTF">2023-02-07T04:11:00Z</dcterms:modified>
</cp:coreProperties>
</file>