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07" w:rsidRDefault="00BD4007" w:rsidP="00BD4007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детей с </w:t>
      </w:r>
      <w:proofErr w:type="spellStart"/>
      <w:r>
        <w:rPr>
          <w:rFonts w:eastAsia="Times New Roman"/>
        </w:rPr>
        <w:t>апластической</w:t>
      </w:r>
      <w:proofErr w:type="spellEnd"/>
      <w:r>
        <w:rPr>
          <w:rFonts w:eastAsia="Times New Roman"/>
        </w:rPr>
        <w:t xml:space="preserve"> анемией</w:t>
      </w:r>
    </w:p>
    <w:p w:rsidR="00BD4007" w:rsidRDefault="00BD4007" w:rsidP="00BD4007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"https://cr.minzdrav.gov.ru/recomend/696_1"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Апластическая</w:t>
      </w:r>
      <w:proofErr w:type="spellEnd"/>
      <w:r>
        <w:rPr>
          <w:rStyle w:val="a3"/>
          <w:rFonts w:eastAsia="Times New Roman"/>
        </w:rPr>
        <w:t xml:space="preserve"> анемия у детей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Апластическая</w:t>
      </w:r>
      <w:proofErr w:type="spellEnd"/>
      <w:r>
        <w:rPr>
          <w:rStyle w:val="a5"/>
        </w:rPr>
        <w:t xml:space="preserve"> анемия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61"/>
        <w:gridCol w:w="6378"/>
      </w:tblGrid>
      <w:tr w:rsidR="00BD4007" w:rsidTr="00BD4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007" w:rsidRDefault="00BD4007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007" w:rsidRDefault="00BD4007">
            <w:pPr>
              <w:pStyle w:val="a4"/>
            </w:pPr>
            <w:r>
              <w:t>дети</w:t>
            </w:r>
          </w:p>
        </w:tc>
      </w:tr>
      <w:tr w:rsidR="00BD4007" w:rsidTr="00BD4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007" w:rsidRDefault="00BD4007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4007" w:rsidRDefault="00BD4007">
            <w:pPr>
              <w:pStyle w:val="a4"/>
            </w:pPr>
            <w:r>
              <w:t>врач-гематолог, врач – детский онколог, врач-педиатр</w:t>
            </w:r>
          </w:p>
        </w:tc>
      </w:tr>
    </w:tbl>
    <w:p w:rsidR="00BD4007" w:rsidRDefault="00BD4007" w:rsidP="00BD4007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Прием (осмотр, консультация) врача-специалиста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первичный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врача-диетолога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врача-детского кардиолога первичный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BD4007" w:rsidRDefault="00BD4007" w:rsidP="00BD4007">
      <w:pPr>
        <w:pStyle w:val="a4"/>
        <w:spacing w:line="276" w:lineRule="auto"/>
      </w:pPr>
      <w:r>
        <w:t>Пациентам при диагностике АА при наличии инфекционных, геморрагических и иных осложнений со стороны ЛОР-органов.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врача-офтальмолога первичный</w:t>
      </w:r>
    </w:p>
    <w:p w:rsidR="00BD4007" w:rsidRDefault="00BD4007" w:rsidP="00BD4007">
      <w:pPr>
        <w:pStyle w:val="a4"/>
        <w:spacing w:line="276" w:lineRule="auto"/>
      </w:pPr>
      <w:r>
        <w:t>Пациентам при диагностике АА при наличии геморрагического синдрома и/или любых нарушениях зрения.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участкового первичный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 - детского эндокринолога первичный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Жалобы и анамнез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Сбор анамнеза и жалоб при заболеваниях органов кроветворения и крови</w:t>
      </w:r>
    </w:p>
    <w:p w:rsidR="00BD4007" w:rsidRDefault="00BD4007" w:rsidP="00BD4007">
      <w:pPr>
        <w:pStyle w:val="a4"/>
        <w:spacing w:line="276" w:lineRule="auto"/>
      </w:pPr>
      <w:r>
        <w:t xml:space="preserve">Из анамнестических данных следует выявлять связь с возможными токсическими, лекарственными агентами или ассоциацию с вирусными гепатитами В и С. Необходим тщательный сбор семейного анамнеза для исключения врожденных аномалий, а также уточнение наличия </w:t>
      </w:r>
      <w:proofErr w:type="spellStart"/>
      <w:r>
        <w:t>сиблингов</w:t>
      </w:r>
      <w:proofErr w:type="spellEnd"/>
      <w:r>
        <w:t xml:space="preserve"> (родных братьев и/или сестер) для рассмотрения </w:t>
      </w:r>
      <w:r>
        <w:lastRenderedPageBreak/>
        <w:t>возможности проведения трансплантация аллогенных гемопоэтических стволовых клеток (</w:t>
      </w:r>
      <w:proofErr w:type="spellStart"/>
      <w:r>
        <w:t>аллоТГСК</w:t>
      </w:r>
      <w:proofErr w:type="spellEnd"/>
      <w:r>
        <w:t>).</w:t>
      </w:r>
    </w:p>
    <w:p w:rsidR="00BD4007" w:rsidRDefault="00BD4007" w:rsidP="00BD4007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Визуальный осмотр терапевтический</w:t>
      </w:r>
    </w:p>
    <w:p w:rsidR="00BD4007" w:rsidRDefault="00BD4007" w:rsidP="00BD4007">
      <w:pPr>
        <w:pStyle w:val="a4"/>
        <w:spacing w:line="276" w:lineRule="auto"/>
      </w:pPr>
      <w:r>
        <w:t>Осмотр включает: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осмотр полости рта (в том числе слизистой оболочки полости рта и миндалин),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роста,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массы тела, температуры тела,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состояния костно-суставной системы,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признаков геморрагического синдрома,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аускультация сердца и легких,</w:t>
      </w:r>
    </w:p>
    <w:p w:rsidR="00BD4007" w:rsidRDefault="00BD4007" w:rsidP="00BD4007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пальпация периферических лимфоузлов, щитовидной железы и органов брюшной полости.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Критерии установления диагноза</w:t>
      </w:r>
    </w:p>
    <w:p w:rsidR="00BD4007" w:rsidRDefault="00BD4007" w:rsidP="00BD4007">
      <w:pPr>
        <w:pStyle w:val="a4"/>
        <w:spacing w:line="276" w:lineRule="auto"/>
      </w:pPr>
      <w:r>
        <w:t>Диагноз АА устанавливается на основании клинических проявлений и данных лабораторного обследования.</w:t>
      </w:r>
    </w:p>
    <w:p w:rsidR="00BD4007" w:rsidRDefault="00BD4007" w:rsidP="00BD400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Трехростковая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цитопения</w:t>
      </w:r>
      <w:proofErr w:type="spellEnd"/>
      <w:r>
        <w:rPr>
          <w:rFonts w:eastAsia="Times New Roman"/>
        </w:rPr>
        <w:t xml:space="preserve">: анемия (гемоглобин &lt;110 г/л), </w:t>
      </w:r>
      <w:proofErr w:type="spellStart"/>
      <w:r>
        <w:rPr>
          <w:rFonts w:eastAsia="Times New Roman"/>
        </w:rPr>
        <w:t>гранулоцитопения</w:t>
      </w:r>
      <w:proofErr w:type="spellEnd"/>
      <w:r>
        <w:rPr>
          <w:rFonts w:eastAsia="Times New Roman"/>
        </w:rPr>
        <w:t xml:space="preserve"> (гранулоциты &lt;2,0 х10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>/л), тромбоцитопения (тромбоциты &lt;100,0 х 10</w:t>
      </w:r>
      <w:r>
        <w:rPr>
          <w:rFonts w:eastAsia="Times New Roman"/>
          <w:vertAlign w:val="superscript"/>
        </w:rPr>
        <w:t>9</w:t>
      </w:r>
      <w:r>
        <w:rPr>
          <w:rFonts w:eastAsia="Times New Roman"/>
        </w:rPr>
        <w:t>/л).</w:t>
      </w:r>
    </w:p>
    <w:p w:rsidR="00BD4007" w:rsidRDefault="00BD4007" w:rsidP="00BD400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Отсутствие лейкемических клеток и клеток солидных опухолей и отсутствие мегакариоцитов по данным </w:t>
      </w:r>
      <w:proofErr w:type="spellStart"/>
      <w:r>
        <w:rPr>
          <w:rFonts w:eastAsia="Times New Roman"/>
        </w:rPr>
        <w:t>пунктата</w:t>
      </w:r>
      <w:proofErr w:type="spellEnd"/>
      <w:r>
        <w:rPr>
          <w:rFonts w:eastAsia="Times New Roman"/>
        </w:rPr>
        <w:t xml:space="preserve"> КМ.</w:t>
      </w:r>
    </w:p>
    <w:p w:rsidR="00BD4007" w:rsidRDefault="00BD4007" w:rsidP="00BD4007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Аплазия </w:t>
      </w:r>
      <w:proofErr w:type="spellStart"/>
      <w:r>
        <w:rPr>
          <w:rFonts w:eastAsia="Times New Roman"/>
        </w:rPr>
        <w:t>КМв</w:t>
      </w:r>
      <w:proofErr w:type="spellEnd"/>
      <w:r>
        <w:rPr>
          <w:rFonts w:eastAsia="Times New Roman"/>
        </w:rPr>
        <w:t xml:space="preserve"> биоптате подвздошной кости (преобладание жирового </w:t>
      </w:r>
      <w:proofErr w:type="gramStart"/>
      <w:r>
        <w:rPr>
          <w:rFonts w:eastAsia="Times New Roman"/>
        </w:rPr>
        <w:t>КМ &gt;</w:t>
      </w:r>
      <w:proofErr w:type="gramEnd"/>
      <w:r>
        <w:rPr>
          <w:rFonts w:eastAsia="Times New Roman"/>
        </w:rPr>
        <w:t xml:space="preserve"> 75%).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BD4007" w:rsidRDefault="00BD4007" w:rsidP="00BD4007">
      <w:pPr>
        <w:pStyle w:val="a4"/>
        <w:spacing w:line="276" w:lineRule="auto"/>
      </w:pPr>
      <w:r>
        <w:t>Для определения тяжести АА необходимо проведение 3 последовательных анализов крови. При контроле лечения общий анализ крови проводится не менее 2-3 раза в неделю до приживления трансплантата или достижения ответа на ИСТ, в дальнейшем – 1 раз в месяц.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мочевина,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креатинин</w:t>
      </w:r>
      <w:proofErr w:type="spellEnd"/>
      <w:r>
        <w:rPr>
          <w:rFonts w:eastAsia="Times New Roman"/>
        </w:rPr>
        <w:t>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билирубин,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аланинаминотрансфераза</w:t>
      </w:r>
      <w:proofErr w:type="spellEnd"/>
      <w:r>
        <w:rPr>
          <w:rFonts w:eastAsia="Times New Roman"/>
        </w:rPr>
        <w:t xml:space="preserve"> (АЛТ),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аспартатаминотрансфераза</w:t>
      </w:r>
      <w:proofErr w:type="spellEnd"/>
      <w:r>
        <w:rPr>
          <w:rFonts w:eastAsia="Times New Roman"/>
        </w:rPr>
        <w:t xml:space="preserve"> (АСТ),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лактатдегидрогеназа</w:t>
      </w:r>
      <w:proofErr w:type="spellEnd"/>
      <w:r>
        <w:rPr>
          <w:rFonts w:eastAsia="Times New Roman"/>
        </w:rPr>
        <w:t xml:space="preserve"> (ЛДГ),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натрий,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калий,</w:t>
      </w:r>
    </w:p>
    <w:p w:rsidR="00BD4007" w:rsidRDefault="00BD4007" w:rsidP="00BD4007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кальций.</w:t>
      </w:r>
    </w:p>
    <w:p w:rsidR="00BD4007" w:rsidRDefault="00BD4007" w:rsidP="00BD4007">
      <w:pPr>
        <w:pStyle w:val="a4"/>
        <w:spacing w:line="276" w:lineRule="auto"/>
      </w:pPr>
      <w:r>
        <w:t>Всем пациентам при подозрении на АА, а также всем пациентам с выявленной АА 1 раз в неделю до достижения гематологического ответа, в дальнейшем – 1 раз в месяц.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ферритина</w:t>
      </w:r>
      <w:proofErr w:type="spellEnd"/>
      <w:r>
        <w:rPr>
          <w:rStyle w:val="a5"/>
        </w:rPr>
        <w:t xml:space="preserve"> в крови</w:t>
      </w:r>
    </w:p>
    <w:p w:rsidR="00BD4007" w:rsidRDefault="00BD4007" w:rsidP="00BD4007">
      <w:pPr>
        <w:pStyle w:val="a4"/>
        <w:spacing w:line="276" w:lineRule="auto"/>
      </w:pPr>
      <w:r>
        <w:t xml:space="preserve">Всем пациентам при подозрении на АА, а также получающим заместительную терапию </w:t>
      </w:r>
      <w:proofErr w:type="spellStart"/>
      <w:r>
        <w:t>эритроцитной</w:t>
      </w:r>
      <w:proofErr w:type="spellEnd"/>
      <w:r>
        <w:t xml:space="preserve"> массой.</w:t>
      </w:r>
    </w:p>
    <w:p w:rsidR="00BD4007" w:rsidRDefault="00BD4007" w:rsidP="00BD4007">
      <w:pPr>
        <w:pStyle w:val="a4"/>
        <w:spacing w:line="276" w:lineRule="auto"/>
      </w:pPr>
      <w:proofErr w:type="spellStart"/>
      <w:r>
        <w:rPr>
          <w:rStyle w:val="a5"/>
        </w:rPr>
        <w:t>Коагулограмма</w:t>
      </w:r>
      <w:proofErr w:type="spellEnd"/>
      <w:r>
        <w:rPr>
          <w:rStyle w:val="a5"/>
        </w:rPr>
        <w:t xml:space="preserve"> (ориентировочное исследование системы гемостаза)</w:t>
      </w:r>
    </w:p>
    <w:p w:rsidR="00BD4007" w:rsidRDefault="00BD4007" w:rsidP="00BD400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активированное частичное </w:t>
      </w:r>
      <w:proofErr w:type="spellStart"/>
      <w:r>
        <w:rPr>
          <w:rFonts w:eastAsia="Times New Roman"/>
        </w:rPr>
        <w:t>тромбопластиновое</w:t>
      </w:r>
      <w:proofErr w:type="spellEnd"/>
      <w:r>
        <w:rPr>
          <w:rFonts w:eastAsia="Times New Roman"/>
        </w:rPr>
        <w:t xml:space="preserve"> время (АЧТВ),</w:t>
      </w:r>
    </w:p>
    <w:p w:rsidR="00BD4007" w:rsidRDefault="00BD4007" w:rsidP="00BD400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определение </w:t>
      </w:r>
      <w:proofErr w:type="spellStart"/>
      <w:r>
        <w:rPr>
          <w:rFonts w:eastAsia="Times New Roman"/>
        </w:rPr>
        <w:t>протромбинового</w:t>
      </w:r>
      <w:proofErr w:type="spellEnd"/>
      <w:r>
        <w:rPr>
          <w:rFonts w:eastAsia="Times New Roman"/>
        </w:rPr>
        <w:t xml:space="preserve"> времени,</w:t>
      </w:r>
    </w:p>
    <w:p w:rsidR="00BD4007" w:rsidRDefault="00BD4007" w:rsidP="00BD4007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фибриноген.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Определение основных групп крови (А, В, 0)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Определение резус-принадлежности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Определение антигена D системы Резус (резус-фактор)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Определение фенотипа по антигенам C, c, E, e, </w:t>
      </w:r>
      <w:proofErr w:type="spellStart"/>
      <w:r>
        <w:rPr>
          <w:rStyle w:val="a5"/>
        </w:rPr>
        <w:t>Cw</w:t>
      </w:r>
      <w:proofErr w:type="spellEnd"/>
      <w:r>
        <w:rPr>
          <w:rStyle w:val="a5"/>
        </w:rPr>
        <w:t>, K, k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Определение антиэритроцитарных антител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Просмотр мазка крови для анализа аномалий морфологии эритроцитов, тромбоцитов и лейкоцитов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свободного и связанного билирубина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лактатдегидрогеназы</w:t>
      </w:r>
      <w:proofErr w:type="spellEnd"/>
      <w:r>
        <w:rPr>
          <w:rStyle w:val="a5"/>
        </w:rPr>
        <w:t xml:space="preserve">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щелочной фосфатазы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Семейные обследования на унаследованный гемоглобин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lastRenderedPageBreak/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Идентификация генов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паратиреоидного гормона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свободного тироксина (Т4)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тиреотропина</w:t>
      </w:r>
      <w:proofErr w:type="spellEnd"/>
      <w:r>
        <w:rPr>
          <w:rStyle w:val="a5"/>
        </w:rPr>
        <w:t xml:space="preserve">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эстрогенов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общего тестостерона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лютеинизирующего</w:t>
      </w:r>
      <w:proofErr w:type="spellEnd"/>
      <w:r>
        <w:rPr>
          <w:rStyle w:val="a5"/>
        </w:rPr>
        <w:t xml:space="preserve"> гормона в сыворотке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фолликулостимулирующего гормона в сыворотке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инсулиноподобного ростового фактора I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глюкозотолерантного</w:t>
      </w:r>
      <w:proofErr w:type="spellEnd"/>
      <w:r>
        <w:rPr>
          <w:rStyle w:val="a5"/>
        </w:rPr>
        <w:t xml:space="preserve"> теста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Рентгенография грудной клетки в прямой проекции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Ультразвуковое исследование органов брюшной полости (комплексное)</w:t>
      </w:r>
    </w:p>
    <w:p w:rsidR="00BD4007" w:rsidRDefault="00BD4007" w:rsidP="00BD400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печень,</w:t>
      </w:r>
    </w:p>
    <w:p w:rsidR="00BD4007" w:rsidRDefault="00BD4007" w:rsidP="00BD400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селезенка,</w:t>
      </w:r>
    </w:p>
    <w:p w:rsidR="00BD4007" w:rsidRDefault="00BD4007" w:rsidP="00BD4007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лимфатические узлы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УЗ-исследование почек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УЗ-исследование органов малого таза у девочек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КТ органов грудной клетки</w:t>
      </w:r>
    </w:p>
    <w:p w:rsidR="00BD4007" w:rsidRDefault="00BD4007" w:rsidP="00BD4007">
      <w:pPr>
        <w:pStyle w:val="a4"/>
        <w:spacing w:line="276" w:lineRule="auto"/>
      </w:pPr>
      <w:r>
        <w:t>Пациентам с АА и получающим ИСТ с подозрением на инфекционные осложнения ИСТ.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Проба с </w:t>
      </w:r>
      <w:proofErr w:type="spellStart"/>
      <w:r>
        <w:rPr>
          <w:rStyle w:val="a5"/>
        </w:rPr>
        <w:t>диэпоксибутаном</w:t>
      </w:r>
      <w:proofErr w:type="spellEnd"/>
    </w:p>
    <w:p w:rsidR="00BD4007" w:rsidRDefault="00BD4007" w:rsidP="00BD4007">
      <w:pPr>
        <w:pStyle w:val="a4"/>
        <w:spacing w:line="276" w:lineRule="auto"/>
      </w:pPr>
      <w:r>
        <w:t xml:space="preserve">Для исключения анемии </w:t>
      </w:r>
      <w:proofErr w:type="spellStart"/>
      <w:r>
        <w:t>Фанкони</w:t>
      </w:r>
      <w:proofErr w:type="spellEnd"/>
      <w:r>
        <w:t>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lastRenderedPageBreak/>
        <w:t xml:space="preserve">HLA ДНК-типирование по низкому разрешению по 6 аллелям локусов </w:t>
      </w:r>
      <w:proofErr w:type="gramStart"/>
      <w:r>
        <w:rPr>
          <w:rStyle w:val="a5"/>
        </w:rPr>
        <w:t>А,B</w:t>
      </w:r>
      <w:proofErr w:type="gramEnd"/>
      <w:r>
        <w:rPr>
          <w:rStyle w:val="a5"/>
        </w:rPr>
        <w:t xml:space="preserve"> и DRB1 с консультацией в трансплантационном центре</w:t>
      </w:r>
    </w:p>
    <w:p w:rsidR="00BD4007" w:rsidRDefault="00BD4007" w:rsidP="00BD4007">
      <w:pPr>
        <w:pStyle w:val="a4"/>
        <w:spacing w:line="276" w:lineRule="auto"/>
      </w:pPr>
      <w:r>
        <w:t xml:space="preserve">Всем пациентам при диагностике АА, а также их </w:t>
      </w:r>
      <w:proofErr w:type="spellStart"/>
      <w:r>
        <w:t>сиблингам</w:t>
      </w:r>
      <w:proofErr w:type="spellEnd"/>
      <w:r>
        <w:t xml:space="preserve"> с целью выбора метода лечения и поиска потенциального донора КМ.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Регистрация электрокардиограммы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Эхокардиография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Магнитно-резонансная томография сердца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Магнитно-резонансная томография органов брюшной полости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Получение цитологического препарата костного мозга путем пункции передних или задних гребней подвздошных костей, цитологическое исследование мазка костного мозга (</w:t>
      </w:r>
      <w:proofErr w:type="spellStart"/>
      <w:r>
        <w:rPr>
          <w:rStyle w:val="a5"/>
        </w:rPr>
        <w:t>миелограмма</w:t>
      </w:r>
      <w:proofErr w:type="spellEnd"/>
      <w:r>
        <w:rPr>
          <w:rStyle w:val="a5"/>
        </w:rPr>
        <w:t>)</w:t>
      </w:r>
    </w:p>
    <w:p w:rsidR="00BD4007" w:rsidRDefault="00BD4007" w:rsidP="00BD4007">
      <w:pPr>
        <w:pStyle w:val="a4"/>
        <w:spacing w:line="276" w:lineRule="auto"/>
      </w:pPr>
      <w:r>
        <w:t xml:space="preserve">Всем пациентам при </w:t>
      </w:r>
      <w:proofErr w:type="spellStart"/>
      <w:r>
        <w:t>диагностикеАА</w:t>
      </w:r>
      <w:proofErr w:type="spellEnd"/>
      <w:r>
        <w:t xml:space="preserve">, а также каждые 12-24 месяца после достижения гематологического ответа для оценки клеточного состава костномозгового кроветворения и выполнение цитогенетического исследования – с целью прогнозирования трансформации в </w:t>
      </w:r>
      <w:proofErr w:type="spellStart"/>
      <w:r>
        <w:t>гемобластоз</w:t>
      </w:r>
      <w:proofErr w:type="spellEnd"/>
      <w:r>
        <w:t>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Цитогенетическое исследование (кариотип) клеток КМ и FISH исследование на наличие </w:t>
      </w:r>
      <w:proofErr w:type="spellStart"/>
      <w:r>
        <w:rPr>
          <w:rStyle w:val="a5"/>
        </w:rPr>
        <w:t>моносомии</w:t>
      </w:r>
      <w:proofErr w:type="spellEnd"/>
      <w:r>
        <w:rPr>
          <w:rStyle w:val="a5"/>
        </w:rPr>
        <w:t xml:space="preserve"> 7</w:t>
      </w:r>
    </w:p>
    <w:p w:rsidR="00BD4007" w:rsidRDefault="00BD4007" w:rsidP="00BD4007">
      <w:pPr>
        <w:pStyle w:val="a4"/>
        <w:spacing w:line="276" w:lineRule="auto"/>
      </w:pPr>
      <w:r>
        <w:t>Всем пациентам при диагностике АА для дифференциальной диагностики с МДС.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Тест на гиперчувствительность к </w:t>
      </w:r>
      <w:proofErr w:type="spellStart"/>
      <w:r>
        <w:rPr>
          <w:rStyle w:val="a5"/>
        </w:rPr>
        <w:t>кластогенным</w:t>
      </w:r>
      <w:proofErr w:type="spellEnd"/>
      <w:r>
        <w:rPr>
          <w:rStyle w:val="a5"/>
        </w:rPr>
        <w:t xml:space="preserve"> агентам (проба с </w:t>
      </w:r>
      <w:proofErr w:type="spellStart"/>
      <w:r>
        <w:rPr>
          <w:rStyle w:val="a5"/>
        </w:rPr>
        <w:t>диэпоксибутаном</w:t>
      </w:r>
      <w:proofErr w:type="spellEnd"/>
      <w:r>
        <w:rPr>
          <w:rStyle w:val="a5"/>
        </w:rPr>
        <w:t xml:space="preserve">) и, по возможности, молекулярно-цитогенетическое исследование (FISH-метод) на одну пару хромосом на анемию </w:t>
      </w:r>
      <w:proofErr w:type="spellStart"/>
      <w:r>
        <w:rPr>
          <w:rStyle w:val="a5"/>
        </w:rPr>
        <w:t>Фанкони</w:t>
      </w:r>
      <w:proofErr w:type="spellEnd"/>
      <w:r>
        <w:rPr>
          <w:rStyle w:val="a5"/>
        </w:rPr>
        <w:t xml:space="preserve">, врожденный </w:t>
      </w:r>
      <w:proofErr w:type="spellStart"/>
      <w:r>
        <w:rPr>
          <w:rStyle w:val="a5"/>
        </w:rPr>
        <w:t>дискератоз</w:t>
      </w:r>
      <w:proofErr w:type="spellEnd"/>
      <w:r>
        <w:rPr>
          <w:rStyle w:val="a5"/>
        </w:rPr>
        <w:t>, мутацию гена RUNX1</w:t>
      </w:r>
    </w:p>
    <w:p w:rsidR="00BD4007" w:rsidRDefault="00BD4007" w:rsidP="00BD4007">
      <w:pPr>
        <w:pStyle w:val="a4"/>
        <w:spacing w:line="276" w:lineRule="auto"/>
      </w:pPr>
      <w:r>
        <w:t xml:space="preserve">Всем детям, а также пациентам с семейным анамнезом гематологической патологии (лейкемии, тромбоцитопении, </w:t>
      </w:r>
      <w:proofErr w:type="spellStart"/>
      <w:r>
        <w:t>апластические</w:t>
      </w:r>
      <w:proofErr w:type="spellEnd"/>
      <w:r>
        <w:t xml:space="preserve"> анемии) и с дебютом с нетяжелой, медленно прогрессирующей </w:t>
      </w:r>
      <w:proofErr w:type="spellStart"/>
      <w:r>
        <w:t>цитопении</w:t>
      </w:r>
      <w:proofErr w:type="spellEnd"/>
      <w:r>
        <w:t xml:space="preserve"> для дифференциальной диагностики с врожденными формами костномозговой недостаточности.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Консультация врача-акушера-гинеколога</w:t>
      </w:r>
    </w:p>
    <w:p w:rsidR="00BD4007" w:rsidRDefault="00BD4007" w:rsidP="00BD4007">
      <w:pPr>
        <w:pStyle w:val="a4"/>
        <w:spacing w:line="276" w:lineRule="auto"/>
      </w:pPr>
      <w:r>
        <w:t>Всем пациенткам с начавшимися менструациями при диагностике АА для исключения сопутствующей патологии и решения вопроса о назначении гормональных препаратов для остановки менструального цикла и профилактики маточных кровотечений.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Консультация врача-офтальмолога</w:t>
      </w:r>
    </w:p>
    <w:p w:rsidR="00BD4007" w:rsidRDefault="00BD4007" w:rsidP="00BD4007">
      <w:pPr>
        <w:pStyle w:val="a4"/>
        <w:spacing w:line="276" w:lineRule="auto"/>
      </w:pPr>
      <w:r>
        <w:lastRenderedPageBreak/>
        <w:t>Пациентам при диагностике АА при наличии геморрагического синдрома и/или любых нарушениях зрения для исключения внутриглазного кровоизлияния.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Консультация врача-</w:t>
      </w:r>
      <w:proofErr w:type="spellStart"/>
      <w:r>
        <w:rPr>
          <w:rStyle w:val="a5"/>
        </w:rPr>
        <w:t>оториноларинголога</w:t>
      </w:r>
      <w:proofErr w:type="spellEnd"/>
    </w:p>
    <w:p w:rsidR="00BD4007" w:rsidRDefault="00BD4007" w:rsidP="00BD4007">
      <w:pPr>
        <w:pStyle w:val="a4"/>
        <w:spacing w:line="276" w:lineRule="auto"/>
      </w:pPr>
      <w:r>
        <w:t>Пациентам при диагностике АА при наличии инфекционных, геморрагических и иных осложнений со стороны ЛОР-органов для диагностики сопутствующей патологии.</w:t>
      </w:r>
    </w:p>
    <w:p w:rsidR="00BD4007" w:rsidRDefault="00BD4007" w:rsidP="00BD4007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Прием (осмотр, консультация) и наблюдение врача-специалиста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врача-детского кардиолога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врача-офтальмолога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врача-детского эндокринолога повторный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участкового повторный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Наблюдение и уход за пациентом медицинскими работниками со средним (начальным) профессиональным образованием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Измерение массы тела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Измерение роста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Антропометрические исследования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Взятие крови из периферической вены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lastRenderedPageBreak/>
        <w:t>Исследование уровня свободного и связанного билирубина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лактатдегидрогеназы</w:t>
      </w:r>
      <w:proofErr w:type="spellEnd"/>
      <w:r>
        <w:rPr>
          <w:rStyle w:val="a5"/>
        </w:rPr>
        <w:t xml:space="preserve">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щелочной фосфатазы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ферритина</w:t>
      </w:r>
      <w:proofErr w:type="spellEnd"/>
      <w:r>
        <w:rPr>
          <w:rStyle w:val="a5"/>
        </w:rPr>
        <w:t xml:space="preserve">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общего кальция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неорганического фосфора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паратиреоидного гормона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свободного тироксина (Т4)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тиреотропина</w:t>
      </w:r>
      <w:proofErr w:type="spellEnd"/>
      <w:r>
        <w:rPr>
          <w:rStyle w:val="a5"/>
        </w:rPr>
        <w:t xml:space="preserve"> сыворотки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эстрогенов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общего тестостерона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лютеинизирующего</w:t>
      </w:r>
      <w:proofErr w:type="spellEnd"/>
      <w:r>
        <w:rPr>
          <w:rStyle w:val="a5"/>
        </w:rPr>
        <w:t xml:space="preserve"> гормона в сыворотке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фолликулостимулирующего гормона в сыворотке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Исследование уровня инсулиноподобного ростового фактора I в крови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глюкозотолерантного</w:t>
      </w:r>
      <w:proofErr w:type="spellEnd"/>
      <w:r>
        <w:rPr>
          <w:rStyle w:val="a5"/>
        </w:rPr>
        <w:t xml:space="preserve"> теста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Эхокардиография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Ультразвуковое исследование органов брюшной полости (комплексное)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Ультразвуковое исследование щитовидной железы и паращитовидных желез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Регистрация электрокардиограммы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Рентгенография кисти руки</w:t>
      </w:r>
    </w:p>
    <w:p w:rsidR="00BD4007" w:rsidRDefault="00BD4007" w:rsidP="00BD4007">
      <w:pPr>
        <w:pStyle w:val="a4"/>
        <w:spacing w:line="276" w:lineRule="auto"/>
      </w:pPr>
      <w:proofErr w:type="spellStart"/>
      <w:r>
        <w:rPr>
          <w:rStyle w:val="a5"/>
        </w:rPr>
        <w:t>Рентгеноденситометрия</w:t>
      </w:r>
      <w:proofErr w:type="spellEnd"/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lastRenderedPageBreak/>
        <w:t>Аллогенная трансплантация гемопоэтических клеток от HLA-</w:t>
      </w:r>
      <w:proofErr w:type="spellStart"/>
      <w:r>
        <w:rPr>
          <w:rFonts w:eastAsia="Times New Roman"/>
        </w:rPr>
        <w:t>геноидентичного</w:t>
      </w:r>
      <w:proofErr w:type="spellEnd"/>
      <w:r>
        <w:rPr>
          <w:rFonts w:eastAsia="Times New Roman"/>
        </w:rPr>
        <w:t xml:space="preserve"> донора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Аллогенная трансплантация гемопоэтических клеток</w:t>
      </w:r>
    </w:p>
    <w:p w:rsidR="00BD4007" w:rsidRDefault="00BD4007" w:rsidP="00BD4007">
      <w:pPr>
        <w:pStyle w:val="a4"/>
        <w:spacing w:line="276" w:lineRule="auto"/>
      </w:pPr>
      <w:r>
        <w:t>Всем детям с АА, имеющим HLA-</w:t>
      </w:r>
      <w:proofErr w:type="spellStart"/>
      <w:r>
        <w:t>геноидентичного</w:t>
      </w:r>
      <w:proofErr w:type="spellEnd"/>
      <w:r>
        <w:t xml:space="preserve"> (совместимого по 9/10 или 10/10 аллелям - </w:t>
      </w:r>
      <w:proofErr w:type="gramStart"/>
      <w:r>
        <w:t>А,В</w:t>
      </w:r>
      <w:proofErr w:type="gramEnd"/>
      <w:r>
        <w:t>,С, DRB1, DQB1) донора.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Анализ на </w:t>
      </w:r>
      <w:proofErr w:type="spellStart"/>
      <w:r>
        <w:rPr>
          <w:rStyle w:val="a5"/>
        </w:rPr>
        <w:t>химеризм</w:t>
      </w:r>
      <w:proofErr w:type="spellEnd"/>
      <w:r>
        <w:rPr>
          <w:rStyle w:val="a5"/>
        </w:rPr>
        <w:t xml:space="preserve"> на день +30 от трансплантации</w:t>
      </w:r>
    </w:p>
    <w:p w:rsidR="00BD4007" w:rsidRDefault="00BD4007" w:rsidP="00BD4007">
      <w:pPr>
        <w:pStyle w:val="a4"/>
        <w:spacing w:line="276" w:lineRule="auto"/>
      </w:pPr>
      <w:r>
        <w:t xml:space="preserve">Всем детям с АА </w:t>
      </w:r>
      <w:proofErr w:type="spellStart"/>
      <w:r>
        <w:t>послеалло</w:t>
      </w:r>
      <w:proofErr w:type="spellEnd"/>
      <w:r>
        <w:t xml:space="preserve">-ТГСК – после восстановления кроветворения после алло-ТГСК. В дальнейшем исследование </w:t>
      </w:r>
      <w:proofErr w:type="spellStart"/>
      <w:r>
        <w:t>химеризма</w:t>
      </w:r>
      <w:proofErr w:type="spellEnd"/>
      <w:r>
        <w:t xml:space="preserve"> необходимо при ухудшении функции трансплантата – т. е. повторном, развитии анемии и/или </w:t>
      </w:r>
      <w:proofErr w:type="spellStart"/>
      <w:r>
        <w:t>гранулоцитопении</w:t>
      </w:r>
      <w:proofErr w:type="spellEnd"/>
      <w:r>
        <w:t xml:space="preserve"> и/или тромбоцитопении, не связанных с частыми причинами дисфункции трансплантата (реактивация латентной </w:t>
      </w:r>
      <w:proofErr w:type="spellStart"/>
      <w:r>
        <w:t>цитомегаловирусной</w:t>
      </w:r>
      <w:proofErr w:type="spellEnd"/>
      <w:r>
        <w:t xml:space="preserve"> инфекции и лечение </w:t>
      </w:r>
      <w:proofErr w:type="spellStart"/>
      <w:r>
        <w:t>ганцикловиром</w:t>
      </w:r>
      <w:proofErr w:type="spellEnd"/>
      <w:r>
        <w:t>).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Всем детям с АА в </w:t>
      </w:r>
      <w:proofErr w:type="spellStart"/>
      <w:r>
        <w:rPr>
          <w:rStyle w:val="a5"/>
        </w:rPr>
        <w:t>посттрансплантационном</w:t>
      </w:r>
      <w:proofErr w:type="spellEnd"/>
      <w:r>
        <w:rPr>
          <w:rStyle w:val="a5"/>
        </w:rPr>
        <w:t xml:space="preserve"> периоде </w:t>
      </w:r>
      <w:proofErr w:type="spellStart"/>
      <w:r>
        <w:rPr>
          <w:rStyle w:val="a5"/>
        </w:rPr>
        <w:t>нерекомендуется</w:t>
      </w:r>
      <w:proofErr w:type="spellEnd"/>
      <w:r>
        <w:rPr>
          <w:rStyle w:val="a5"/>
        </w:rPr>
        <w:t xml:space="preserve"> плановое использование Г-КСФ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 xml:space="preserve">Комбинированная </w:t>
      </w:r>
      <w:proofErr w:type="spellStart"/>
      <w:r>
        <w:rPr>
          <w:rFonts w:eastAsia="Times New Roman"/>
        </w:rPr>
        <w:t>иммуносупрессивная</w:t>
      </w:r>
      <w:proofErr w:type="spellEnd"/>
      <w:r>
        <w:rPr>
          <w:rFonts w:eastAsia="Times New Roman"/>
        </w:rPr>
        <w:t xml:space="preserve"> терапия в качестве первой линии патогенетической терапии АА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Комбинированная </w:t>
      </w:r>
      <w:proofErr w:type="spellStart"/>
      <w:r>
        <w:rPr>
          <w:rStyle w:val="a5"/>
        </w:rPr>
        <w:t>иммуносупрессивная</w:t>
      </w:r>
      <w:proofErr w:type="spellEnd"/>
      <w:r>
        <w:rPr>
          <w:rStyle w:val="a5"/>
        </w:rPr>
        <w:t xml:space="preserve"> терапия (ИСТ)</w:t>
      </w:r>
    </w:p>
    <w:p w:rsidR="00BD4007" w:rsidRDefault="00BD4007" w:rsidP="00BD4007">
      <w:pPr>
        <w:pStyle w:val="a4"/>
        <w:spacing w:line="276" w:lineRule="auto"/>
      </w:pPr>
      <w:r>
        <w:t>Всем детям с АА, не имеющим HLA-</w:t>
      </w:r>
      <w:proofErr w:type="spellStart"/>
      <w:r>
        <w:t>геноидентичного</w:t>
      </w:r>
      <w:proofErr w:type="spellEnd"/>
      <w:r>
        <w:t xml:space="preserve"> донора или при наличии у донора противопоказаний к </w:t>
      </w:r>
      <w:proofErr w:type="spellStart"/>
      <w:r>
        <w:t>донации</w:t>
      </w:r>
      <w:proofErr w:type="spellEnd"/>
      <w:r>
        <w:t xml:space="preserve"> лошадиным АТГ в дозе 40 мг/кг в сутки в течение 4 дней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Проведение профилактики инвазивного аспергиллеза и </w:t>
      </w:r>
      <w:proofErr w:type="spellStart"/>
      <w:r>
        <w:rPr>
          <w:rStyle w:val="a5"/>
        </w:rPr>
        <w:t>мукормикоза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позаконазолом</w:t>
      </w:r>
      <w:proofErr w:type="spellEnd"/>
    </w:p>
    <w:p w:rsidR="00BD4007" w:rsidRDefault="00BD4007" w:rsidP="00BD4007">
      <w:pPr>
        <w:pStyle w:val="a4"/>
        <w:spacing w:line="276" w:lineRule="auto"/>
      </w:pPr>
      <w:r>
        <w:t xml:space="preserve">Всем детям с АА, которым проводится курс ИСТ. Прием </w:t>
      </w:r>
      <w:proofErr w:type="spellStart"/>
      <w:r>
        <w:t>позаконазола</w:t>
      </w:r>
      <w:proofErr w:type="spellEnd"/>
      <w:r>
        <w:t xml:space="preserve"> продолжается до повышения гранулоцитов выше 0,5х10</w:t>
      </w:r>
      <w:r>
        <w:rPr>
          <w:vertAlign w:val="superscript"/>
        </w:rPr>
        <w:t>9</w:t>
      </w:r>
      <w:r>
        <w:t>/л, Профилактическое назначение ко-</w:t>
      </w:r>
      <w:proofErr w:type="spellStart"/>
      <w:r>
        <w:t>тримоксазола</w:t>
      </w:r>
      <w:proofErr w:type="spellEnd"/>
      <w:r>
        <w:t xml:space="preserve"> [</w:t>
      </w:r>
      <w:proofErr w:type="spellStart"/>
      <w:r>
        <w:t>Сульфаметоксазол+Триметоприм</w:t>
      </w:r>
      <w:proofErr w:type="spellEnd"/>
      <w:r>
        <w:t xml:space="preserve">], учитывая крайнюю редкость </w:t>
      </w:r>
      <w:proofErr w:type="spellStart"/>
      <w:r>
        <w:t>пневмоцистной</w:t>
      </w:r>
      <w:proofErr w:type="spellEnd"/>
      <w:r>
        <w:t xml:space="preserve"> пневмонии у реципиентов ИСТ, </w:t>
      </w:r>
      <w:r>
        <w:rPr>
          <w:rStyle w:val="a5"/>
        </w:rPr>
        <w:t>не рекомендуется.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Профилактики реактивации герпес-вирусных инфекций ацикловиром</w:t>
      </w:r>
    </w:p>
    <w:p w:rsidR="00BD4007" w:rsidRDefault="00BD4007" w:rsidP="00BD4007">
      <w:pPr>
        <w:pStyle w:val="a4"/>
        <w:spacing w:line="276" w:lineRule="auto"/>
      </w:pPr>
      <w:r>
        <w:t>Всем детям с АА, которым проводится курс ИСТ. Прием ацикловира продолжается в течение 6 недель от первого дня АТГ.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Длительная терапия </w:t>
      </w:r>
      <w:proofErr w:type="spellStart"/>
      <w:r>
        <w:rPr>
          <w:rStyle w:val="a5"/>
        </w:rPr>
        <w:t>циклоспорином</w:t>
      </w:r>
      <w:proofErr w:type="spellEnd"/>
      <w:r>
        <w:rPr>
          <w:rStyle w:val="a5"/>
        </w:rPr>
        <w:t>(</w:t>
      </w:r>
      <w:proofErr w:type="spellStart"/>
      <w:r>
        <w:rPr>
          <w:rStyle w:val="a5"/>
        </w:rPr>
        <w:t>ЦсА</w:t>
      </w:r>
      <w:proofErr w:type="spellEnd"/>
      <w:r>
        <w:rPr>
          <w:rStyle w:val="a5"/>
        </w:rPr>
        <w:t>).</w:t>
      </w:r>
    </w:p>
    <w:p w:rsidR="00BD4007" w:rsidRDefault="00BD4007" w:rsidP="00BD4007">
      <w:pPr>
        <w:pStyle w:val="a4"/>
        <w:spacing w:line="276" w:lineRule="auto"/>
      </w:pPr>
      <w:r>
        <w:t xml:space="preserve">Всем детям с АА, которым проводится курс ИСТ. </w:t>
      </w:r>
      <w:proofErr w:type="spellStart"/>
      <w:r>
        <w:t>ЦсА</w:t>
      </w:r>
      <w:proofErr w:type="spellEnd"/>
      <w:r>
        <w:t xml:space="preserve"> назначается через 1-3 недели после начала курса лошадиным АТГ или после </w:t>
      </w:r>
      <w:proofErr w:type="spellStart"/>
      <w:r>
        <w:t>спленэктомии</w:t>
      </w:r>
      <w:proofErr w:type="spellEnd"/>
      <w:r>
        <w:t xml:space="preserve">. Начальная доза препарата — 5 мг/кг в сутки. В дальнейшем суточная доза изменяется в зависимости от индивидуальной </w:t>
      </w:r>
      <w:proofErr w:type="spellStart"/>
      <w:r>
        <w:t>фармакокинетики</w:t>
      </w:r>
      <w:proofErr w:type="spellEnd"/>
      <w:r>
        <w:t xml:space="preserve"> и индивидуальной переносимости препарата. Целевая </w:t>
      </w:r>
      <w:proofErr w:type="spellStart"/>
      <w:r>
        <w:t>резидуальная</w:t>
      </w:r>
      <w:proofErr w:type="spellEnd"/>
      <w:r>
        <w:t xml:space="preserve"> (то есть взятая перед приемом) концентрация </w:t>
      </w:r>
      <w:proofErr w:type="spellStart"/>
      <w:r>
        <w:t>ЦсА</w:t>
      </w:r>
      <w:proofErr w:type="spellEnd"/>
      <w:r>
        <w:t xml:space="preserve"> в цельной крови должна составлять 150-</w:t>
      </w:r>
      <w:r>
        <w:lastRenderedPageBreak/>
        <w:t xml:space="preserve">300 </w:t>
      </w:r>
      <w:proofErr w:type="spellStart"/>
      <w:r>
        <w:t>нг</w:t>
      </w:r>
      <w:proofErr w:type="spellEnd"/>
      <w:r>
        <w:t xml:space="preserve">/мл. При полном отсутствии гематологического ответа (180-200 дней от начала первого курса АТГ; 90 дней после второго курса АТГ) </w:t>
      </w:r>
      <w:proofErr w:type="spellStart"/>
      <w:r>
        <w:t>ЦсА</w:t>
      </w:r>
      <w:proofErr w:type="spellEnd"/>
      <w:r>
        <w:t xml:space="preserve"> отменяется до проведения трансплантации гемопоэтических клеток. При достижении любого гематологического ответа </w:t>
      </w:r>
      <w:proofErr w:type="spellStart"/>
      <w:r>
        <w:t>ЦсА</w:t>
      </w:r>
      <w:proofErr w:type="spellEnd"/>
      <w:r>
        <w:t xml:space="preserve"> продолжается в течение не менее 18 месяцев и не менее 6 месяцев от достижения плато гематологического ответа. При достижении стабильного наилучшего ответа, общей длительности терапии не менее 18 месяцев и отсутствии роста показателей крови в течение 6 месяцев </w:t>
      </w:r>
      <w:proofErr w:type="spellStart"/>
      <w:r>
        <w:t>ЦсА</w:t>
      </w:r>
      <w:proofErr w:type="spellEnd"/>
      <w:r>
        <w:t xml:space="preserve"> снижается по 5% от дозы.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Всем детям с АА во время проведения курса ИСТ, не рекомендуется назначение Г-КСФ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Г-КСФ</w:t>
      </w:r>
    </w:p>
    <w:p w:rsidR="00BD4007" w:rsidRDefault="00BD4007" w:rsidP="00BD4007">
      <w:pPr>
        <w:pStyle w:val="a4"/>
        <w:spacing w:line="276" w:lineRule="auto"/>
      </w:pPr>
      <w:r>
        <w:t xml:space="preserve">Пациентам, начавшим курс АТГ с </w:t>
      </w:r>
      <w:proofErr w:type="spellStart"/>
      <w:r>
        <w:t>неполностью</w:t>
      </w:r>
      <w:proofErr w:type="spellEnd"/>
      <w:r>
        <w:t xml:space="preserve"> купированной бактериальной или грибковой </w:t>
      </w:r>
      <w:proofErr w:type="gramStart"/>
      <w:r>
        <w:t>инфекцией</w:t>
      </w:r>
      <w:proofErr w:type="gramEnd"/>
      <w:r>
        <w:t xml:space="preserve"> или развернувшим такую инфекцию </w:t>
      </w:r>
      <w:proofErr w:type="spellStart"/>
      <w:r>
        <w:t>показанопосле</w:t>
      </w:r>
      <w:proofErr w:type="spellEnd"/>
      <w:r>
        <w:t xml:space="preserve"> завершения курса АТГ. При отсутствии повышения гранулоцитов выше 0,5х10</w:t>
      </w:r>
      <w:r>
        <w:rPr>
          <w:vertAlign w:val="superscript"/>
        </w:rPr>
        <w:t>9</w:t>
      </w:r>
      <w:r>
        <w:t>/л в течение 42 дней Г-КСФ отменяется. При повышении гранулоцитов выше 0,5х10</w:t>
      </w:r>
      <w:r>
        <w:rPr>
          <w:vertAlign w:val="superscript"/>
        </w:rPr>
        <w:t>9</w:t>
      </w:r>
      <w:r>
        <w:t>/л дальнейшие ритм введения и дозировка Г-КСФ подбирается индивидуально с целью поддержания гранулоцитов выше 0,5х10</w:t>
      </w:r>
      <w:r>
        <w:rPr>
          <w:vertAlign w:val="superscript"/>
        </w:rPr>
        <w:t>9</w:t>
      </w:r>
      <w:r>
        <w:t>/л в каждый из дней терапии.</w:t>
      </w:r>
    </w:p>
    <w:p w:rsidR="00BD4007" w:rsidRDefault="00BD4007" w:rsidP="00BD4007">
      <w:pPr>
        <w:pStyle w:val="a4"/>
        <w:spacing w:line="276" w:lineRule="auto"/>
      </w:pPr>
      <w:proofErr w:type="spellStart"/>
      <w:r>
        <w:rPr>
          <w:rStyle w:val="a5"/>
        </w:rPr>
        <w:t>Хелаторная</w:t>
      </w:r>
      <w:proofErr w:type="spellEnd"/>
      <w:r>
        <w:rPr>
          <w:rStyle w:val="a5"/>
        </w:rPr>
        <w:t xml:space="preserve"> терапия </w:t>
      </w:r>
      <w:proofErr w:type="spellStart"/>
      <w:r>
        <w:rPr>
          <w:rStyle w:val="a5"/>
        </w:rPr>
        <w:t>деферазироксом</w:t>
      </w:r>
      <w:proofErr w:type="spellEnd"/>
    </w:p>
    <w:p w:rsidR="00BD4007" w:rsidRDefault="00BD4007" w:rsidP="00BD4007">
      <w:pPr>
        <w:pStyle w:val="a4"/>
        <w:spacing w:line="276" w:lineRule="auto"/>
      </w:pPr>
      <w:r>
        <w:t xml:space="preserve">Пациентам с АА и наличием посттрансфузионной перегрузки железом. </w:t>
      </w:r>
      <w:proofErr w:type="spellStart"/>
      <w:r>
        <w:t>Деферазирокс</w:t>
      </w:r>
      <w:proofErr w:type="spellEnd"/>
      <w:r>
        <w:t xml:space="preserve"> противопоказан пациентам в возрасте до 2 лет) в начальной дозе 10 мг/кг/сутки, с дальнейшим постепенным увеличением дозы до 30 мг/кг/сутки при отсутствии признаков токсичности препарата.</w:t>
      </w:r>
    </w:p>
    <w:p w:rsidR="00BD4007" w:rsidRDefault="00BD4007" w:rsidP="00BD4007">
      <w:pPr>
        <w:pStyle w:val="3"/>
        <w:spacing w:line="276" w:lineRule="auto"/>
      </w:pPr>
      <w:r>
        <w:rPr>
          <w:rFonts w:eastAsia="Times New Roman"/>
        </w:rPr>
        <w:t>Терапия рефрактерных форм и рецидивов АА</w:t>
      </w:r>
    </w:p>
    <w:p w:rsidR="00BD4007" w:rsidRDefault="00BD4007" w:rsidP="00BD4007">
      <w:pPr>
        <w:pStyle w:val="a4"/>
        <w:spacing w:line="276" w:lineRule="auto"/>
      </w:pPr>
      <w:proofErr w:type="spellStart"/>
      <w:r>
        <w:rPr>
          <w:rStyle w:val="a5"/>
        </w:rPr>
        <w:t>Элтромбопаг</w:t>
      </w:r>
      <w:proofErr w:type="spellEnd"/>
      <w:r>
        <w:rPr>
          <w:rStyle w:val="a5"/>
        </w:rPr>
        <w:t xml:space="preserve"> в возрастных дозировках </w:t>
      </w:r>
    </w:p>
    <w:p w:rsidR="00BD4007" w:rsidRDefault="00BD4007" w:rsidP="00BD4007">
      <w:pPr>
        <w:pStyle w:val="a4"/>
        <w:spacing w:line="276" w:lineRule="auto"/>
      </w:pPr>
      <w:r>
        <w:t xml:space="preserve">Пациентам с рефрактерной АА в течение 6 месяцев и более при достижении гематологического ответа. Начало терапии </w:t>
      </w:r>
      <w:proofErr w:type="spellStart"/>
      <w:r>
        <w:t>элтромбопагом</w:t>
      </w:r>
      <w:proofErr w:type="spellEnd"/>
      <w:r>
        <w:t xml:space="preserve"> возможно совместно с началом второго курса АТГ или при отсутствии эффекта от проведенных 2-х курсов комбинированной ИСТ лошадиным АТГ в сочетании с </w:t>
      </w:r>
      <w:proofErr w:type="spellStart"/>
      <w:r>
        <w:t>ЦсА</w:t>
      </w:r>
      <w:proofErr w:type="spellEnd"/>
      <w:r>
        <w:t xml:space="preserve"> и отсутствии возможности проведения алло-</w:t>
      </w:r>
      <w:proofErr w:type="spellStart"/>
      <w:r>
        <w:t>ТКМот</w:t>
      </w:r>
      <w:proofErr w:type="spellEnd"/>
      <w:r>
        <w:t xml:space="preserve"> альтернативного донора. Также терапия </w:t>
      </w:r>
      <w:proofErr w:type="spellStart"/>
      <w:r>
        <w:t>элтромбопагом</w:t>
      </w:r>
      <w:proofErr w:type="spellEnd"/>
      <w:r>
        <w:t xml:space="preserve"> возможна как при сохранении одноростковой </w:t>
      </w:r>
      <w:proofErr w:type="spellStart"/>
      <w:r>
        <w:t>цитопении</w:t>
      </w:r>
      <w:proofErr w:type="spellEnd"/>
      <w:r>
        <w:t xml:space="preserve"> (тромбоцитопении), так и </w:t>
      </w:r>
      <w:proofErr w:type="spellStart"/>
      <w:r>
        <w:t>панцитопении</w:t>
      </w:r>
      <w:proofErr w:type="spellEnd"/>
      <w:r>
        <w:t xml:space="preserve"> для улучшения полученных результатов лечения.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Повторный курса терапии лошадиным АТГ через 3-6 месяцев при отсутствии эффективности после 1-го курса</w:t>
      </w:r>
    </w:p>
    <w:p w:rsidR="00BD4007" w:rsidRDefault="00BD4007" w:rsidP="00BD4007">
      <w:pPr>
        <w:pStyle w:val="a4"/>
        <w:spacing w:line="276" w:lineRule="auto"/>
      </w:pPr>
      <w:r>
        <w:t xml:space="preserve">Пациентам с рефрактерной АА в некоторых случаях может быть обсужден вопрос о возможности проведения </w:t>
      </w:r>
      <w:proofErr w:type="spellStart"/>
      <w:r>
        <w:t>cочетанной</w:t>
      </w:r>
      <w:proofErr w:type="spellEnd"/>
      <w:r>
        <w:t xml:space="preserve"> терапии с </w:t>
      </w:r>
      <w:proofErr w:type="spellStart"/>
      <w:r>
        <w:t>элтромбопагом</w:t>
      </w:r>
      <w:proofErr w:type="spellEnd"/>
      <w:r>
        <w:t xml:space="preserve"> в первой линии. В настоящее время для повторного курса терапией выбора является также лошадиный АТГ. Альтернативой является кроличий АТГ в курсовой дозе 17,5 мг/кг вводимой за 5 дней.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lastRenderedPageBreak/>
        <w:t xml:space="preserve">Консультация в трансплантационном центре с целью оценки возможности проведения трансплантации аллогенных гемопоэтических клеток крови или костного мозга от неродственного или </w:t>
      </w:r>
      <w:proofErr w:type="spellStart"/>
      <w:r>
        <w:rPr>
          <w:rStyle w:val="a5"/>
        </w:rPr>
        <w:t>гаплоидентичного</w:t>
      </w:r>
      <w:proofErr w:type="spellEnd"/>
      <w:r>
        <w:rPr>
          <w:rStyle w:val="a5"/>
        </w:rPr>
        <w:t xml:space="preserve"> донора</w:t>
      </w:r>
    </w:p>
    <w:p w:rsidR="00BD4007" w:rsidRDefault="00BD4007" w:rsidP="00BD4007">
      <w:pPr>
        <w:pStyle w:val="a4"/>
        <w:spacing w:line="276" w:lineRule="auto"/>
      </w:pPr>
      <w:r>
        <w:t xml:space="preserve">Пациентам с констатированной </w:t>
      </w:r>
      <w:proofErr w:type="spellStart"/>
      <w:r>
        <w:t>рефрактерностью</w:t>
      </w:r>
      <w:proofErr w:type="spellEnd"/>
      <w:r>
        <w:t xml:space="preserve"> к 1-му курсу терапии АТГ.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Возобновление терапии </w:t>
      </w:r>
      <w:proofErr w:type="spellStart"/>
      <w:r>
        <w:rPr>
          <w:rStyle w:val="a5"/>
        </w:rPr>
        <w:t>ЦсА</w:t>
      </w:r>
      <w:proofErr w:type="spellEnd"/>
      <w:r>
        <w:rPr>
          <w:rStyle w:val="a5"/>
        </w:rPr>
        <w:t xml:space="preserve"> в прежней дозе</w:t>
      </w:r>
    </w:p>
    <w:p w:rsidR="00BD4007" w:rsidRDefault="00BD4007" w:rsidP="00BD4007">
      <w:pPr>
        <w:pStyle w:val="a4"/>
        <w:spacing w:line="276" w:lineRule="auto"/>
      </w:pPr>
      <w:r>
        <w:t xml:space="preserve">Пациентам с «зависимостью от </w:t>
      </w:r>
      <w:proofErr w:type="spellStart"/>
      <w:r>
        <w:t>циклоспорина</w:t>
      </w:r>
      <w:proofErr w:type="spellEnd"/>
      <w:r>
        <w:t xml:space="preserve"> (усугублением </w:t>
      </w:r>
      <w:proofErr w:type="spellStart"/>
      <w:r>
        <w:t>цитопении</w:t>
      </w:r>
      <w:proofErr w:type="spellEnd"/>
      <w:r>
        <w:t xml:space="preserve">/рецидивом на фоне постепенного снижения дозы или сразу после полной отмены) даже при отсутствии </w:t>
      </w:r>
      <w:proofErr w:type="spellStart"/>
      <w:r>
        <w:t>трансфузионной</w:t>
      </w:r>
      <w:proofErr w:type="spellEnd"/>
      <w:r>
        <w:t xml:space="preserve"> зависимости. При отсутствии эффекта через 2-3 месяца – обсуждение вопроса о проведении курса АТГ.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Пациентам при развитии рецидива АА – проведение повторного курса лошадиного АТГ в прежнем режиме дозирования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Пациентам с АА не рекомендуется проведение терапии кортикостероидами системного действия</w:t>
      </w:r>
    </w:p>
    <w:p w:rsidR="00BD4007" w:rsidRDefault="00BD4007" w:rsidP="00BD4007">
      <w:pPr>
        <w:pStyle w:val="a4"/>
        <w:spacing w:line="276" w:lineRule="auto"/>
      </w:pPr>
      <w:r>
        <w:t xml:space="preserve">Терапия глюкокортикоидными гормонами не является патогенетической для АА. Применение глюкокортикоидных гормонов целесообразно лишь для профилактики ранних (анафилаксия, лихорадка, ознобы, сыпи) и поздних осложнений (сывороточная болезнь) </w:t>
      </w:r>
      <w:proofErr w:type="spellStart"/>
      <w:r>
        <w:t>терапииАТГ</w:t>
      </w:r>
      <w:proofErr w:type="spellEnd"/>
      <w:r>
        <w:t xml:space="preserve"> в течение 14-21 дня от начала курса АТГ.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 xml:space="preserve">Пациентам с АА при наличии показаний </w:t>
      </w:r>
      <w:proofErr w:type="spellStart"/>
      <w:r>
        <w:rPr>
          <w:rStyle w:val="a5"/>
        </w:rPr>
        <w:t>проводитьзаместительную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трансфузионную</w:t>
      </w:r>
      <w:proofErr w:type="spellEnd"/>
      <w:r>
        <w:rPr>
          <w:rStyle w:val="a5"/>
        </w:rPr>
        <w:t xml:space="preserve"> терапию компонентами крови</w:t>
      </w:r>
    </w:p>
    <w:p w:rsidR="00BD4007" w:rsidRDefault="00BD4007" w:rsidP="00BD4007">
      <w:pPr>
        <w:pStyle w:val="a4"/>
        <w:spacing w:line="276" w:lineRule="auto"/>
      </w:pPr>
      <w:r>
        <w:t xml:space="preserve">Лечение лошадиным АТГ и </w:t>
      </w:r>
      <w:proofErr w:type="spellStart"/>
      <w:r>
        <w:t>ЦсА</w:t>
      </w:r>
      <w:proofErr w:type="spellEnd"/>
      <w:r>
        <w:t xml:space="preserve"> невозможны без современной заместительной </w:t>
      </w:r>
      <w:proofErr w:type="spellStart"/>
      <w:r>
        <w:t>трансфузионной</w:t>
      </w:r>
      <w:proofErr w:type="spellEnd"/>
      <w:r>
        <w:t xml:space="preserve"> терапии компонентами крови. В первую очередь это касается использования </w:t>
      </w:r>
      <w:proofErr w:type="spellStart"/>
      <w:r>
        <w:t>эритроцитной</w:t>
      </w:r>
      <w:proofErr w:type="spellEnd"/>
      <w:r>
        <w:t xml:space="preserve"> массы и </w:t>
      </w:r>
      <w:proofErr w:type="spellStart"/>
      <w:r>
        <w:t>тромбоконцентрата</w:t>
      </w:r>
      <w:proofErr w:type="spellEnd"/>
      <w:r>
        <w:t>, алгоритм применения которых определяется тяжестью течения болезни, то есть выраженностью анемического и геморрагического синдромов и этапом терапии.</w:t>
      </w:r>
    </w:p>
    <w:p w:rsidR="00BD4007" w:rsidRDefault="00BD4007" w:rsidP="00BD4007">
      <w:pPr>
        <w:pStyle w:val="a4"/>
        <w:spacing w:line="276" w:lineRule="auto"/>
      </w:pPr>
      <w:r>
        <w:t xml:space="preserve">Для купирования анемического синдрома при АА должна использоваться </w:t>
      </w:r>
      <w:proofErr w:type="spellStart"/>
      <w:r>
        <w:t>эритроцитная</w:t>
      </w:r>
      <w:proofErr w:type="spellEnd"/>
      <w:r>
        <w:t xml:space="preserve"> масса, очищенная от лейкоцитов и тромбоцитов, с учетом фенотипа эритроцитов донора и реципиента. Для однократного переливания донорских тромбоцитов используют следующий расчет 1 доза </w:t>
      </w:r>
      <w:proofErr w:type="spellStart"/>
      <w:r>
        <w:t>тромбоконцентрата</w:t>
      </w:r>
      <w:proofErr w:type="spellEnd"/>
      <w:r>
        <w:t xml:space="preserve"> (0,5-0,7х10</w:t>
      </w:r>
      <w:r>
        <w:rPr>
          <w:vertAlign w:val="superscript"/>
        </w:rPr>
        <w:t xml:space="preserve">11 </w:t>
      </w:r>
      <w:r>
        <w:t>тромбоцитов) на 10 кг массы пациента, полученного от одного донора. Трансфузии проводят перед каждым введением АТГ, далее – в зависимости от числа тромбоцитов в крови, наличия и тяжести геморрагического синдрома.</w:t>
      </w:r>
    </w:p>
    <w:p w:rsidR="00BD4007" w:rsidRDefault="00BD4007" w:rsidP="00BD4007">
      <w:pPr>
        <w:pStyle w:val="2"/>
        <w:spacing w:line="276" w:lineRule="auto"/>
      </w:pPr>
      <w:r>
        <w:rPr>
          <w:rFonts w:eastAsia="Times New Roman"/>
        </w:rPr>
        <w:t>Диспансерное наблюдение</w:t>
      </w:r>
    </w:p>
    <w:p w:rsidR="00BD4007" w:rsidRDefault="00BD4007" w:rsidP="00BD4007">
      <w:pPr>
        <w:pStyle w:val="a4"/>
        <w:spacing w:line="276" w:lineRule="auto"/>
      </w:pPr>
      <w:r>
        <w:rPr>
          <w:rStyle w:val="a5"/>
        </w:rPr>
        <w:t>Показано диспансерное наблюдение у врача-гематолога</w:t>
      </w:r>
    </w:p>
    <w:p w:rsidR="00BD4007" w:rsidRDefault="00BD4007" w:rsidP="00BD4007">
      <w:pPr>
        <w:pStyle w:val="a4"/>
        <w:spacing w:line="276" w:lineRule="auto"/>
      </w:pPr>
      <w:r>
        <w:t>Пациентам с АА для ранней диагностики рецидивов и своевременного начала их лечения.</w:t>
      </w:r>
    </w:p>
    <w:p w:rsidR="00BD4007" w:rsidRDefault="00BD4007" w:rsidP="00BD4007">
      <w:pPr>
        <w:pStyle w:val="a4"/>
        <w:spacing w:line="276" w:lineRule="auto"/>
      </w:pPr>
      <w:r>
        <w:lastRenderedPageBreak/>
        <w:t> </w:t>
      </w:r>
    </w:p>
    <w:p w:rsidR="00BD4007" w:rsidRDefault="00BD4007" w:rsidP="00BD4007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0E5D10" w:rsidRDefault="000E5D10">
      <w:bookmarkStart w:id="0" w:name="_GoBack"/>
      <w:bookmarkEnd w:id="0"/>
    </w:p>
    <w:sectPr w:rsidR="000E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9CA"/>
    <w:multiLevelType w:val="multilevel"/>
    <w:tmpl w:val="B44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56F4"/>
    <w:multiLevelType w:val="multilevel"/>
    <w:tmpl w:val="239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63523"/>
    <w:multiLevelType w:val="multilevel"/>
    <w:tmpl w:val="5EC0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80448"/>
    <w:multiLevelType w:val="multilevel"/>
    <w:tmpl w:val="DDE6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E55FF"/>
    <w:multiLevelType w:val="multilevel"/>
    <w:tmpl w:val="CDA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07"/>
    <w:rsid w:val="000E5D10"/>
    <w:rsid w:val="00B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72B0-F740-4539-931C-B9F8BB8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4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D400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400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0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D40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0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D4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2023-02-06T07:22:00Z</dcterms:created>
  <dcterms:modified xsi:type="dcterms:W3CDTF">2023-02-06T07:22:00Z</dcterms:modified>
</cp:coreProperties>
</file>