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D67" w:rsidRDefault="009A5D67" w:rsidP="009A5D67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Протокол лечения ребенка с туберкулезом (II режим химиотерапии)</w:t>
      </w:r>
    </w:p>
    <w:p w:rsidR="009A5D67" w:rsidRDefault="009A5D67" w:rsidP="009A5D67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подготовлен экспертами </w:t>
      </w:r>
      <w:hyperlink r:id="rId5" w:tgtFrame="_self" w:history="1">
        <w:r>
          <w:rPr>
            <w:rStyle w:val="a3"/>
            <w:rFonts w:eastAsia="Times New Roman"/>
          </w:rPr>
          <w:t>Системы Консилиум</w:t>
        </w:r>
      </w:hyperlink>
      <w:r>
        <w:rPr>
          <w:rFonts w:eastAsia="Times New Roman"/>
        </w:rPr>
        <w:t xml:space="preserve"> на основании клинической рекомендации «</w:t>
      </w:r>
      <w:hyperlink r:id="rId6" w:tgtFrame="_self" w:history="1">
        <w:r>
          <w:rPr>
            <w:rStyle w:val="a3"/>
            <w:rFonts w:eastAsia="Times New Roman"/>
          </w:rPr>
          <w:t>Туберкулез у детей</w:t>
        </w:r>
      </w:hyperlink>
      <w:r>
        <w:rPr>
          <w:rFonts w:eastAsia="Times New Roman"/>
        </w:rPr>
        <w:t xml:space="preserve">».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434"/>
        <w:gridCol w:w="7905"/>
      </w:tblGrid>
      <w:tr w:rsidR="009A5D67" w:rsidTr="009A5D67"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D67" w:rsidRDefault="009A5D67">
            <w:pPr>
              <w:pStyle w:val="a4"/>
            </w:pPr>
            <w:r>
              <w:rPr>
                <w:rStyle w:val="a5"/>
              </w:rPr>
              <w:t>Пациенты</w:t>
            </w:r>
          </w:p>
        </w:tc>
        <w:tc>
          <w:tcPr>
            <w:tcW w:w="4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D67" w:rsidRDefault="009A5D67">
            <w:pPr>
              <w:pStyle w:val="a4"/>
            </w:pPr>
            <w:r>
              <w:t>дети, мальчики, девочки</w:t>
            </w:r>
          </w:p>
        </w:tc>
      </w:tr>
      <w:tr w:rsidR="009A5D67" w:rsidTr="009A5D67"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D67" w:rsidRDefault="009A5D67">
            <w:pPr>
              <w:pStyle w:val="a4"/>
            </w:pPr>
            <w:r>
              <w:rPr>
                <w:rStyle w:val="a5"/>
              </w:rPr>
              <w:t>Врач</w:t>
            </w:r>
          </w:p>
        </w:tc>
        <w:tc>
          <w:tcPr>
            <w:tcW w:w="4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D67" w:rsidRDefault="009A5D67">
            <w:pPr>
              <w:pStyle w:val="a4"/>
            </w:pPr>
            <w:r>
              <w:t>врач-фтизиатр, врач-фтизиатр участковый, врач-педиатр, врач-медицинский микробиолог</w:t>
            </w:r>
          </w:p>
        </w:tc>
      </w:tr>
    </w:tbl>
    <w:p w:rsidR="009A5D67" w:rsidRDefault="009A5D67" w:rsidP="009A5D67">
      <w:pPr>
        <w:pStyle w:val="2"/>
        <w:spacing w:line="276" w:lineRule="auto"/>
      </w:pPr>
      <w:r>
        <w:rPr>
          <w:rFonts w:eastAsia="Times New Roman"/>
        </w:rPr>
        <w:t>Диагностика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>Критерии установления диагноза</w:t>
      </w:r>
    </w:p>
    <w:p w:rsidR="009A5D67" w:rsidRDefault="009A5D67" w:rsidP="009A5D67">
      <w:pPr>
        <w:pStyle w:val="3"/>
        <w:spacing w:line="276" w:lineRule="auto"/>
      </w:pPr>
      <w:r>
        <w:rPr>
          <w:rFonts w:eastAsia="Times New Roman"/>
        </w:rPr>
        <w:t>Сбор жалоб и анамнеза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>Сбор жалоб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>Сбор анамнеза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 xml:space="preserve">Запрос информации о </w:t>
      </w:r>
      <w:proofErr w:type="spellStart"/>
      <w:r>
        <w:rPr>
          <w:rStyle w:val="a5"/>
        </w:rPr>
        <w:t>бактериовыделении</w:t>
      </w:r>
      <w:proofErr w:type="spellEnd"/>
      <w:r>
        <w:rPr>
          <w:rStyle w:val="a5"/>
        </w:rPr>
        <w:t xml:space="preserve"> и спектре лекарственной устойчивости возбудителя у предполагаемого источника заражения МБТ ребенка</w:t>
      </w:r>
    </w:p>
    <w:p w:rsidR="009A5D67" w:rsidRDefault="009A5D67" w:rsidP="009A5D67">
      <w:pPr>
        <w:pStyle w:val="a4"/>
        <w:spacing w:line="276" w:lineRule="auto"/>
      </w:pPr>
      <w:r>
        <w:t>При подозрении на туберкулез у ребенка</w:t>
      </w:r>
    </w:p>
    <w:p w:rsidR="009A5D67" w:rsidRDefault="009A5D67" w:rsidP="009A5D67">
      <w:pPr>
        <w:pStyle w:val="3"/>
        <w:spacing w:line="276" w:lineRule="auto"/>
      </w:pPr>
      <w:proofErr w:type="spellStart"/>
      <w:r>
        <w:rPr>
          <w:rFonts w:eastAsia="Times New Roman"/>
        </w:rPr>
        <w:t>Физикальное</w:t>
      </w:r>
      <w:proofErr w:type="spellEnd"/>
      <w:r>
        <w:rPr>
          <w:rFonts w:eastAsia="Times New Roman"/>
        </w:rPr>
        <w:t xml:space="preserve"> обследование</w:t>
      </w:r>
    </w:p>
    <w:p w:rsidR="009A5D67" w:rsidRDefault="009A5D67" w:rsidP="009A5D67">
      <w:pPr>
        <w:pStyle w:val="a4"/>
        <w:spacing w:line="276" w:lineRule="auto"/>
      </w:pPr>
      <w:proofErr w:type="spellStart"/>
      <w:r>
        <w:rPr>
          <w:rStyle w:val="a5"/>
        </w:rPr>
        <w:t>Физикальное</w:t>
      </w:r>
      <w:proofErr w:type="spellEnd"/>
      <w:r>
        <w:rPr>
          <w:rStyle w:val="a5"/>
        </w:rPr>
        <w:t xml:space="preserve"> обследование</w:t>
      </w:r>
    </w:p>
    <w:p w:rsidR="009A5D67" w:rsidRDefault="009A5D67" w:rsidP="009A5D67">
      <w:pPr>
        <w:pStyle w:val="a4"/>
        <w:spacing w:line="276" w:lineRule="auto"/>
      </w:pPr>
      <w:r>
        <w:t xml:space="preserve">Для выявления признаков туберкулезной </w:t>
      </w:r>
      <w:proofErr w:type="spellStart"/>
      <w:r>
        <w:t>интоксикацииНередка</w:t>
      </w:r>
      <w:proofErr w:type="spellEnd"/>
      <w:r>
        <w:t xml:space="preserve"> отмечается скудость </w:t>
      </w:r>
      <w:proofErr w:type="spellStart"/>
      <w:r>
        <w:t>физикальных</w:t>
      </w:r>
      <w:proofErr w:type="spellEnd"/>
      <w:r>
        <w:t xml:space="preserve"> проявлений, </w:t>
      </w:r>
      <w:proofErr w:type="spellStart"/>
      <w:r>
        <w:t>перкуторные</w:t>
      </w:r>
      <w:proofErr w:type="spellEnd"/>
      <w:r>
        <w:t xml:space="preserve"> и </w:t>
      </w:r>
      <w:proofErr w:type="spellStart"/>
      <w:r>
        <w:t>аскультативные</w:t>
      </w:r>
      <w:proofErr w:type="spellEnd"/>
      <w:r>
        <w:t xml:space="preserve"> признаки могут отсутствовать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>Настороженность в отношении признаков распространенных и осложненных процессов</w:t>
      </w:r>
    </w:p>
    <w:p w:rsidR="009A5D67" w:rsidRDefault="009A5D67" w:rsidP="009A5D67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снижение тургора кожи и подкожной клетчатки, наличие </w:t>
      </w:r>
      <w:proofErr w:type="spellStart"/>
      <w:r>
        <w:rPr>
          <w:rFonts w:eastAsia="Times New Roman"/>
        </w:rPr>
        <w:t>параспецифических</w:t>
      </w:r>
      <w:proofErr w:type="spellEnd"/>
      <w:r>
        <w:rPr>
          <w:rFonts w:eastAsia="Times New Roman"/>
        </w:rPr>
        <w:t xml:space="preserve"> реакций;</w:t>
      </w:r>
    </w:p>
    <w:p w:rsidR="009A5D67" w:rsidRDefault="009A5D67" w:rsidP="009A5D67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бледность кожных покровов и синева под глазами;</w:t>
      </w:r>
    </w:p>
    <w:p w:rsidR="009A5D67" w:rsidRDefault="009A5D67" w:rsidP="009A5D67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ослабление </w:t>
      </w:r>
      <w:proofErr w:type="spellStart"/>
      <w:r>
        <w:rPr>
          <w:rFonts w:eastAsia="Times New Roman"/>
        </w:rPr>
        <w:t>перкуторного</w:t>
      </w:r>
      <w:proofErr w:type="spellEnd"/>
      <w:r>
        <w:rPr>
          <w:rFonts w:eastAsia="Times New Roman"/>
        </w:rPr>
        <w:t xml:space="preserve"> легочного звука;</w:t>
      </w:r>
    </w:p>
    <w:p w:rsidR="009A5D67" w:rsidRDefault="009A5D67" w:rsidP="009A5D67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аускультации наличие сухих или влажных хрипов</w:t>
      </w:r>
    </w:p>
    <w:p w:rsidR="009A5D67" w:rsidRDefault="009A5D67" w:rsidP="009A5D67">
      <w:pPr>
        <w:pStyle w:val="3"/>
        <w:spacing w:line="276" w:lineRule="auto"/>
      </w:pPr>
      <w:r>
        <w:rPr>
          <w:rFonts w:eastAsia="Times New Roman"/>
        </w:rPr>
        <w:t>Лабораторная диагностика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>Общий (клинический) анализ крови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lastRenderedPageBreak/>
        <w:t>Биохимический анализ крови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>Общий (клинический) анализ мочи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>Микробиологическое (</w:t>
      </w:r>
      <w:proofErr w:type="spellStart"/>
      <w:r>
        <w:rPr>
          <w:rStyle w:val="a5"/>
        </w:rPr>
        <w:t>культуральное</w:t>
      </w:r>
      <w:proofErr w:type="spellEnd"/>
      <w:r>
        <w:rPr>
          <w:rStyle w:val="a5"/>
        </w:rPr>
        <w:t>) исследование мокроты на микобактерии туберкулеза (</w:t>
      </w:r>
      <w:proofErr w:type="spellStart"/>
      <w:r>
        <w:rPr>
          <w:rStyle w:val="a5"/>
        </w:rPr>
        <w:t>Mycobacterium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tuberculosis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complех</w:t>
      </w:r>
      <w:proofErr w:type="spellEnd"/>
      <w:r>
        <w:rPr>
          <w:rStyle w:val="a5"/>
        </w:rPr>
        <w:t>)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>Индукция отделения мокроты</w:t>
      </w:r>
    </w:p>
    <w:p w:rsidR="009A5D67" w:rsidRDefault="009A5D67" w:rsidP="009A5D67">
      <w:pPr>
        <w:pStyle w:val="a4"/>
        <w:spacing w:line="276" w:lineRule="auto"/>
      </w:pPr>
      <w:r>
        <w:t>Раздражающие ингаляции</w:t>
      </w:r>
    </w:p>
    <w:p w:rsidR="009A5D67" w:rsidRDefault="009A5D67" w:rsidP="009A5D67">
      <w:pPr>
        <w:pStyle w:val="a4"/>
        <w:spacing w:line="276" w:lineRule="auto"/>
      </w:pPr>
      <w:r>
        <w:t>Необходимо специальное оборудование и подготовленный персонал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>Микробиологическое (</w:t>
      </w:r>
      <w:proofErr w:type="spellStart"/>
      <w:r>
        <w:rPr>
          <w:rStyle w:val="a5"/>
        </w:rPr>
        <w:t>культуральное</w:t>
      </w:r>
      <w:proofErr w:type="spellEnd"/>
      <w:r>
        <w:rPr>
          <w:rStyle w:val="a5"/>
        </w:rPr>
        <w:t>) исследование плевральной жидкости на микобактерии туберкулеза (</w:t>
      </w:r>
      <w:proofErr w:type="spellStart"/>
      <w:r>
        <w:rPr>
          <w:rStyle w:val="a5"/>
        </w:rPr>
        <w:t>Mycobacterium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tuberculosis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complex</w:t>
      </w:r>
      <w:proofErr w:type="spellEnd"/>
      <w:r>
        <w:rPr>
          <w:rStyle w:val="a5"/>
        </w:rPr>
        <w:t>)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>Микробиологическое (</w:t>
      </w:r>
      <w:proofErr w:type="spellStart"/>
      <w:r>
        <w:rPr>
          <w:rStyle w:val="a5"/>
        </w:rPr>
        <w:t>культуральное</w:t>
      </w:r>
      <w:proofErr w:type="spellEnd"/>
      <w:r>
        <w:rPr>
          <w:rStyle w:val="a5"/>
        </w:rPr>
        <w:t>) исследование бронхоальвеолярной жидкости на микобактерии туберкулеза (</w:t>
      </w:r>
      <w:proofErr w:type="spellStart"/>
      <w:r>
        <w:rPr>
          <w:rStyle w:val="a5"/>
        </w:rPr>
        <w:t>Mycobacterium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tuberculosis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complex</w:t>
      </w:r>
      <w:proofErr w:type="spellEnd"/>
      <w:r>
        <w:rPr>
          <w:rStyle w:val="a5"/>
        </w:rPr>
        <w:t>)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>Микробиологическое (</w:t>
      </w:r>
      <w:proofErr w:type="spellStart"/>
      <w:r>
        <w:rPr>
          <w:rStyle w:val="a5"/>
        </w:rPr>
        <w:t>культуральное</w:t>
      </w:r>
      <w:proofErr w:type="spellEnd"/>
      <w:r>
        <w:rPr>
          <w:rStyle w:val="a5"/>
        </w:rPr>
        <w:t xml:space="preserve">) исследование отделяемого свищей, мочи, синовиальной, асцитической жидкостей, </w:t>
      </w:r>
      <w:proofErr w:type="spellStart"/>
      <w:r>
        <w:rPr>
          <w:rStyle w:val="a5"/>
        </w:rPr>
        <w:t>биопсийного</w:t>
      </w:r>
      <w:proofErr w:type="spellEnd"/>
      <w:r>
        <w:rPr>
          <w:rStyle w:val="a5"/>
        </w:rPr>
        <w:t xml:space="preserve"> материала, </w:t>
      </w:r>
      <w:proofErr w:type="spellStart"/>
      <w:r>
        <w:rPr>
          <w:rStyle w:val="a5"/>
        </w:rPr>
        <w:t>пунктатов</w:t>
      </w:r>
      <w:proofErr w:type="spellEnd"/>
      <w:r>
        <w:rPr>
          <w:rStyle w:val="a5"/>
        </w:rPr>
        <w:t xml:space="preserve"> на микобактерии туберкулеза (</w:t>
      </w:r>
      <w:proofErr w:type="spellStart"/>
      <w:r>
        <w:rPr>
          <w:rStyle w:val="a5"/>
        </w:rPr>
        <w:t>Mycobacterium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tuberculosis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complex</w:t>
      </w:r>
      <w:proofErr w:type="spellEnd"/>
      <w:r>
        <w:rPr>
          <w:rStyle w:val="a5"/>
        </w:rPr>
        <w:t>)</w:t>
      </w:r>
    </w:p>
    <w:p w:rsidR="009A5D67" w:rsidRDefault="009A5D67" w:rsidP="009A5D67">
      <w:pPr>
        <w:pStyle w:val="a4"/>
        <w:spacing w:line="276" w:lineRule="auto"/>
      </w:pPr>
      <w:r>
        <w:t>При подозрении на туберкулез внелегочных локализаций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>Проведение не менее двух микроскопических исследований из разных порций биологического материала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>Определение ДНК микобактерии туберкулеза (</w:t>
      </w:r>
      <w:proofErr w:type="spellStart"/>
      <w:r>
        <w:rPr>
          <w:rStyle w:val="a5"/>
        </w:rPr>
        <w:t>Mycobacterium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tuberculosi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scomplex</w:t>
      </w:r>
      <w:proofErr w:type="spellEnd"/>
      <w:r>
        <w:rPr>
          <w:rStyle w:val="a5"/>
        </w:rPr>
        <w:t xml:space="preserve">) в мокроте или ином биологическом материале, методом ПЦР с определением </w:t>
      </w:r>
      <w:proofErr w:type="gramStart"/>
      <w:r>
        <w:rPr>
          <w:rStyle w:val="a5"/>
        </w:rPr>
        <w:t>мутаций</w:t>
      </w:r>
      <w:proofErr w:type="gramEnd"/>
      <w:r>
        <w:rPr>
          <w:rStyle w:val="a5"/>
        </w:rPr>
        <w:t xml:space="preserve"> ассоциированных с лекарственной устойчивостью в ДНК микобактерий туберкулеза (</w:t>
      </w:r>
      <w:proofErr w:type="spellStart"/>
      <w:r>
        <w:rPr>
          <w:rStyle w:val="a5"/>
        </w:rPr>
        <w:t>Mycobacterium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tuberculosis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complex</w:t>
      </w:r>
      <w:proofErr w:type="spellEnd"/>
      <w:r>
        <w:rPr>
          <w:rStyle w:val="a5"/>
        </w:rPr>
        <w:t xml:space="preserve">) как минимум к </w:t>
      </w:r>
      <w:proofErr w:type="spellStart"/>
      <w:r>
        <w:rPr>
          <w:rStyle w:val="a5"/>
        </w:rPr>
        <w:t>рифампицину</w:t>
      </w:r>
      <w:proofErr w:type="spellEnd"/>
    </w:p>
    <w:p w:rsidR="009A5D67" w:rsidRDefault="009A5D67" w:rsidP="009A5D67">
      <w:pPr>
        <w:pStyle w:val="a4"/>
        <w:spacing w:line="276" w:lineRule="auto"/>
      </w:pPr>
      <w:r>
        <w:t>Перечень используемых биологических материалов:</w:t>
      </w:r>
    </w:p>
    <w:p w:rsidR="009A5D67" w:rsidRDefault="009A5D67" w:rsidP="009A5D67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моча;</w:t>
      </w:r>
    </w:p>
    <w:p w:rsidR="009A5D67" w:rsidRDefault="009A5D67" w:rsidP="009A5D67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кала;</w:t>
      </w:r>
    </w:p>
    <w:p w:rsidR="009A5D67" w:rsidRDefault="009A5D67" w:rsidP="009A5D67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гнойное отделяемое;</w:t>
      </w:r>
    </w:p>
    <w:p w:rsidR="009A5D67" w:rsidRDefault="009A5D67" w:rsidP="009A5D67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раневое отделяемое;</w:t>
      </w:r>
    </w:p>
    <w:p w:rsidR="009A5D67" w:rsidRDefault="009A5D67" w:rsidP="009A5D67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синовиальная жидкость;</w:t>
      </w:r>
    </w:p>
    <w:p w:rsidR="009A5D67" w:rsidRDefault="009A5D67" w:rsidP="009A5D67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перикардиальная жидкость;</w:t>
      </w:r>
    </w:p>
    <w:p w:rsidR="009A5D67" w:rsidRDefault="009A5D67" w:rsidP="009A5D67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спинномозговая жидкость;</w:t>
      </w:r>
    </w:p>
    <w:p w:rsidR="009A5D67" w:rsidRDefault="009A5D67" w:rsidP="009A5D67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отделяемое конъюнктивы.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lastRenderedPageBreak/>
        <w:t>Микробиологическое (</w:t>
      </w:r>
      <w:proofErr w:type="spellStart"/>
      <w:r>
        <w:rPr>
          <w:rStyle w:val="a5"/>
        </w:rPr>
        <w:t>культуральное</w:t>
      </w:r>
      <w:proofErr w:type="spellEnd"/>
      <w:r>
        <w:rPr>
          <w:rStyle w:val="a5"/>
        </w:rPr>
        <w:t>) исследование мокроты или иного биологического материала на микобактерии туберкулеза (</w:t>
      </w:r>
      <w:proofErr w:type="spellStart"/>
      <w:r>
        <w:rPr>
          <w:rStyle w:val="a5"/>
        </w:rPr>
        <w:t>Mycobacterium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tuberculosis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complex</w:t>
      </w:r>
      <w:proofErr w:type="spellEnd"/>
      <w:r>
        <w:rPr>
          <w:rStyle w:val="a5"/>
        </w:rPr>
        <w:t>) с последующей идентификацией МБТ и определением чувствительности микобактерий туберкулеза</w:t>
      </w:r>
    </w:p>
    <w:p w:rsidR="009A5D67" w:rsidRDefault="009A5D67" w:rsidP="009A5D67">
      <w:pPr>
        <w:pStyle w:val="a4"/>
        <w:spacing w:line="276" w:lineRule="auto"/>
      </w:pPr>
      <w:r>
        <w:t>Перечень используемых биологических материалов:</w:t>
      </w:r>
    </w:p>
    <w:p w:rsidR="009A5D67" w:rsidRDefault="009A5D67" w:rsidP="009A5D67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бронхоальвеолярная жидкость;</w:t>
      </w:r>
    </w:p>
    <w:p w:rsidR="009A5D67" w:rsidRDefault="009A5D67" w:rsidP="009A5D67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моча;</w:t>
      </w:r>
    </w:p>
    <w:p w:rsidR="009A5D67" w:rsidRDefault="009A5D67" w:rsidP="009A5D67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плевральная жидкость;</w:t>
      </w:r>
    </w:p>
    <w:p w:rsidR="009A5D67" w:rsidRDefault="009A5D67" w:rsidP="009A5D67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кал;</w:t>
      </w:r>
    </w:p>
    <w:p w:rsidR="009A5D67" w:rsidRDefault="009A5D67" w:rsidP="009A5D67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гнойное отделяемое;</w:t>
      </w:r>
    </w:p>
    <w:p w:rsidR="009A5D67" w:rsidRDefault="009A5D67" w:rsidP="009A5D67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раневое отделяемое;</w:t>
      </w:r>
    </w:p>
    <w:p w:rsidR="009A5D67" w:rsidRDefault="009A5D67" w:rsidP="009A5D67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синовиальная жидкость;</w:t>
      </w:r>
    </w:p>
    <w:p w:rsidR="009A5D67" w:rsidRDefault="009A5D67" w:rsidP="009A5D67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перикардиальная жидкость;</w:t>
      </w:r>
    </w:p>
    <w:p w:rsidR="009A5D67" w:rsidRDefault="009A5D67" w:rsidP="009A5D67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соскоб из полости матки;</w:t>
      </w:r>
    </w:p>
    <w:p w:rsidR="009A5D67" w:rsidRDefault="009A5D67" w:rsidP="009A5D67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менструальная кровь;</w:t>
      </w:r>
    </w:p>
    <w:p w:rsidR="009A5D67" w:rsidRDefault="009A5D67" w:rsidP="009A5D67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отделяемое женских половых органов;</w:t>
      </w:r>
    </w:p>
    <w:p w:rsidR="009A5D67" w:rsidRDefault="009A5D67" w:rsidP="009A5D67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секрет простаты или </w:t>
      </w:r>
      <w:proofErr w:type="spellStart"/>
      <w:r>
        <w:rPr>
          <w:rFonts w:eastAsia="Times New Roman"/>
        </w:rPr>
        <w:t>эякулята</w:t>
      </w:r>
      <w:proofErr w:type="spellEnd"/>
      <w:r>
        <w:rPr>
          <w:rFonts w:eastAsia="Times New Roman"/>
        </w:rPr>
        <w:t>;</w:t>
      </w:r>
    </w:p>
    <w:p w:rsidR="009A5D67" w:rsidRDefault="009A5D67" w:rsidP="009A5D67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спинномозговая жидкость;</w:t>
      </w:r>
    </w:p>
    <w:p w:rsidR="009A5D67" w:rsidRDefault="009A5D67" w:rsidP="009A5D67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отделяемое конъюнктивы.</w:t>
      </w:r>
    </w:p>
    <w:p w:rsidR="009A5D67" w:rsidRDefault="009A5D67" w:rsidP="009A5D67">
      <w:pPr>
        <w:pStyle w:val="3"/>
        <w:spacing w:line="276" w:lineRule="auto"/>
      </w:pPr>
      <w:r>
        <w:rPr>
          <w:rFonts w:eastAsia="Times New Roman"/>
        </w:rPr>
        <w:t>Инструментальная диагностика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>Учет проблематичности этиологической диагностики</w:t>
      </w:r>
    </w:p>
    <w:p w:rsidR="009A5D67" w:rsidRDefault="009A5D67" w:rsidP="009A5D67">
      <w:pPr>
        <w:pStyle w:val="a4"/>
        <w:spacing w:line="276" w:lineRule="auto"/>
      </w:pPr>
      <w:r>
        <w:t xml:space="preserve">Этиологическая диагностика туберкулеза возможна у ограниченного контингента детей из-за особенностей клинических форм туберкулеза и отсутствия </w:t>
      </w:r>
      <w:proofErr w:type="spellStart"/>
      <w:r>
        <w:t>бактериовыделения</w:t>
      </w:r>
      <w:proofErr w:type="spellEnd"/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>Рентгенография органов грудной клетки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>КТ органов грудной клетки</w:t>
      </w:r>
    </w:p>
    <w:p w:rsidR="009A5D67" w:rsidRDefault="009A5D67" w:rsidP="009A5D67">
      <w:pPr>
        <w:pStyle w:val="a4"/>
        <w:spacing w:line="276" w:lineRule="auto"/>
      </w:pPr>
      <w:proofErr w:type="spellStart"/>
      <w:r>
        <w:rPr>
          <w:rStyle w:val="a5"/>
        </w:rPr>
        <w:t>Мультиспиральная</w:t>
      </w:r>
      <w:proofErr w:type="spellEnd"/>
      <w:r>
        <w:rPr>
          <w:rStyle w:val="a5"/>
        </w:rPr>
        <w:t xml:space="preserve"> компьютерная томография (МСКТ) органов грудной клетки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>Бронхоскопия</w:t>
      </w:r>
    </w:p>
    <w:p w:rsidR="009A5D67" w:rsidRDefault="009A5D67" w:rsidP="009A5D67">
      <w:pPr>
        <w:pStyle w:val="a4"/>
        <w:spacing w:line="276" w:lineRule="auto"/>
      </w:pPr>
      <w:r>
        <w:t>С забором бронхоальвеолярной жидкости</w:t>
      </w:r>
    </w:p>
    <w:p w:rsidR="009A5D67" w:rsidRDefault="009A5D67" w:rsidP="009A5D67">
      <w:pPr>
        <w:pStyle w:val="a4"/>
        <w:spacing w:line="276" w:lineRule="auto"/>
      </w:pPr>
      <w:proofErr w:type="spellStart"/>
      <w:r>
        <w:rPr>
          <w:rStyle w:val="a5"/>
        </w:rPr>
        <w:t>Трахеобронхоскопия</w:t>
      </w:r>
      <w:proofErr w:type="spellEnd"/>
      <w:r>
        <w:rPr>
          <w:rStyle w:val="a5"/>
        </w:rPr>
        <w:t xml:space="preserve"> </w:t>
      </w:r>
    </w:p>
    <w:p w:rsidR="009A5D67" w:rsidRDefault="009A5D67" w:rsidP="009A5D67">
      <w:pPr>
        <w:pStyle w:val="a4"/>
        <w:spacing w:line="276" w:lineRule="auto"/>
      </w:pPr>
      <w:r>
        <w:t>С забором бронхоальвеолярной жидкости</w:t>
      </w:r>
    </w:p>
    <w:p w:rsidR="009A5D67" w:rsidRDefault="009A5D67" w:rsidP="009A5D67">
      <w:pPr>
        <w:pStyle w:val="a4"/>
        <w:spacing w:line="276" w:lineRule="auto"/>
      </w:pPr>
      <w:proofErr w:type="spellStart"/>
      <w:r>
        <w:rPr>
          <w:rStyle w:val="a5"/>
        </w:rPr>
        <w:lastRenderedPageBreak/>
        <w:t>Видеотрахеобронхоскопия</w:t>
      </w:r>
      <w:proofErr w:type="spellEnd"/>
      <w:r>
        <w:rPr>
          <w:rStyle w:val="a5"/>
        </w:rPr>
        <w:t xml:space="preserve"> </w:t>
      </w:r>
    </w:p>
    <w:p w:rsidR="009A5D67" w:rsidRDefault="009A5D67" w:rsidP="009A5D67">
      <w:pPr>
        <w:pStyle w:val="a4"/>
        <w:spacing w:line="276" w:lineRule="auto"/>
      </w:pPr>
      <w:r>
        <w:t>С забором бронхоальвеолярной жидкости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>УЗИ органов грудной полости</w:t>
      </w:r>
    </w:p>
    <w:p w:rsidR="009A5D67" w:rsidRDefault="009A5D67" w:rsidP="009A5D67">
      <w:pPr>
        <w:pStyle w:val="3"/>
        <w:spacing w:line="276" w:lineRule="auto"/>
        <w:rPr>
          <w:rFonts w:eastAsia="Times New Roman"/>
        </w:rPr>
      </w:pPr>
      <w:r>
        <w:rPr>
          <w:rStyle w:val="a5"/>
          <w:rFonts w:eastAsia="Times New Roman"/>
          <w:b/>
          <w:bCs/>
        </w:rPr>
        <w:t>Иммунодиагностика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>Внутрикожная проба с туберкулезным аллергеном</w:t>
      </w:r>
    </w:p>
    <w:p w:rsidR="009A5D67" w:rsidRDefault="009A5D67" w:rsidP="009A5D67">
      <w:pPr>
        <w:pStyle w:val="a4"/>
        <w:spacing w:line="276" w:lineRule="auto"/>
      </w:pPr>
      <w:r>
        <w:t>Проба Манту с 2ТЕ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>Аллерген туберкулезный рекомбинантный (АТР) в стандартном разведении</w:t>
      </w:r>
    </w:p>
    <w:p w:rsidR="009A5D67" w:rsidRDefault="009A5D67" w:rsidP="009A5D67">
      <w:pPr>
        <w:pStyle w:val="a4"/>
        <w:spacing w:line="276" w:lineRule="auto"/>
      </w:pPr>
      <w:r>
        <w:t>Белок CFP-10-ESAT-6 0,2 мкг</w:t>
      </w:r>
    </w:p>
    <w:p w:rsidR="009A5D67" w:rsidRDefault="009A5D67" w:rsidP="009A5D67">
      <w:pPr>
        <w:pStyle w:val="3"/>
        <w:spacing w:line="276" w:lineRule="auto"/>
      </w:pPr>
      <w:r>
        <w:rPr>
          <w:rStyle w:val="a5"/>
          <w:rFonts w:eastAsia="Times New Roman"/>
          <w:b/>
          <w:bCs/>
        </w:rPr>
        <w:t>Дополнительные исследования</w:t>
      </w:r>
      <w:r>
        <w:rPr>
          <w:rFonts w:eastAsia="Times New Roman"/>
        </w:rPr>
        <w:t> 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>Биопсия</w:t>
      </w:r>
    </w:p>
    <w:p w:rsidR="009A5D67" w:rsidRDefault="009A5D67" w:rsidP="009A5D67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биопсия трахеи, бронхов, легких при бронхоскопии;</w:t>
      </w:r>
    </w:p>
    <w:p w:rsidR="009A5D67" w:rsidRDefault="009A5D67" w:rsidP="009A5D67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трансторакальная</w:t>
      </w:r>
      <w:proofErr w:type="spellEnd"/>
      <w:r>
        <w:rPr>
          <w:rFonts w:eastAsia="Times New Roman"/>
        </w:rPr>
        <w:t xml:space="preserve"> биопсия легкого;</w:t>
      </w:r>
    </w:p>
    <w:p w:rsidR="009A5D67" w:rsidRDefault="009A5D67" w:rsidP="009A5D67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открытая биопсия легкого;</w:t>
      </w:r>
    </w:p>
    <w:p w:rsidR="009A5D67" w:rsidRDefault="009A5D67" w:rsidP="009A5D67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биопсия плевры;</w:t>
      </w:r>
    </w:p>
    <w:p w:rsidR="009A5D67" w:rsidRDefault="009A5D67" w:rsidP="009A5D67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биопсия средостения.</w:t>
      </w:r>
    </w:p>
    <w:p w:rsidR="009A5D67" w:rsidRDefault="009A5D67" w:rsidP="009A5D67">
      <w:pPr>
        <w:pStyle w:val="a4"/>
        <w:spacing w:line="276" w:lineRule="auto"/>
      </w:pPr>
      <w:proofErr w:type="gramStart"/>
      <w:r>
        <w:rPr>
          <w:rStyle w:val="a5"/>
        </w:rPr>
        <w:t>Патолого-анатомическое</w:t>
      </w:r>
      <w:proofErr w:type="gramEnd"/>
      <w:r>
        <w:rPr>
          <w:rStyle w:val="a5"/>
        </w:rPr>
        <w:t xml:space="preserve"> исследование </w:t>
      </w:r>
      <w:proofErr w:type="spellStart"/>
      <w:r>
        <w:rPr>
          <w:rStyle w:val="a5"/>
        </w:rPr>
        <w:t>биопсийного</w:t>
      </w:r>
      <w:proofErr w:type="spellEnd"/>
      <w:r>
        <w:rPr>
          <w:rStyle w:val="a5"/>
        </w:rPr>
        <w:t xml:space="preserve"> (операционного) материала, в том числе с применением гистохимических методов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>Осмотр врача-</w:t>
      </w:r>
      <w:proofErr w:type="spellStart"/>
      <w:r>
        <w:rPr>
          <w:rStyle w:val="a5"/>
        </w:rPr>
        <w:t>оториноларинголога</w:t>
      </w:r>
      <w:proofErr w:type="spellEnd"/>
      <w:r>
        <w:rPr>
          <w:rStyle w:val="a5"/>
        </w:rPr>
        <w:t xml:space="preserve"> с проведением тональной и/или речевой аудиометрии</w:t>
      </w:r>
    </w:p>
    <w:p w:rsidR="009A5D67" w:rsidRDefault="009A5D67" w:rsidP="009A5D67">
      <w:pPr>
        <w:pStyle w:val="a4"/>
        <w:spacing w:line="276" w:lineRule="auto"/>
      </w:pPr>
      <w:r>
        <w:t>Детям с жалобами на снижение слуха и перенесенном отите в анамнезе перед включением в схему химиотерапии инъекционных препаратов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>Осмотр врача-офтальмолога</w:t>
      </w:r>
    </w:p>
    <w:p w:rsidR="009A5D67" w:rsidRDefault="009A5D67" w:rsidP="009A5D67">
      <w:pPr>
        <w:pStyle w:val="a4"/>
        <w:spacing w:line="276" w:lineRule="auto"/>
      </w:pPr>
      <w:r>
        <w:t xml:space="preserve">Перед включением в схему ХТ </w:t>
      </w:r>
      <w:proofErr w:type="spellStart"/>
      <w:r>
        <w:t>этамбутола</w:t>
      </w:r>
      <w:proofErr w:type="spellEnd"/>
      <w:r>
        <w:t xml:space="preserve"> для исключения патологии со стороны глаз и отсутствия противопоказаний для его назначения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>Контрольные обследования в интенсивной фазе</w:t>
      </w:r>
    </w:p>
    <w:p w:rsidR="009A5D67" w:rsidRDefault="009A5D67" w:rsidP="009A5D67">
      <w:pPr>
        <w:pStyle w:val="a4"/>
        <w:spacing w:line="276" w:lineRule="auto"/>
      </w:pPr>
      <w:r>
        <w:t xml:space="preserve">Мониторинг эффективности и переносимости противотуберкулезных и антибактериальных </w:t>
      </w:r>
      <w:proofErr w:type="spellStart"/>
      <w:r>
        <w:t>препаратовПеречень</w:t>
      </w:r>
      <w:proofErr w:type="spellEnd"/>
      <w:r>
        <w:t xml:space="preserve"> обследований:</w:t>
      </w:r>
    </w:p>
    <w:p w:rsidR="009A5D67" w:rsidRDefault="009A5D67" w:rsidP="009A5D67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общий анализ крови не реже 1 раза в месяц;</w:t>
      </w:r>
    </w:p>
    <w:p w:rsidR="009A5D67" w:rsidRDefault="009A5D67" w:rsidP="009A5D67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lastRenderedPageBreak/>
        <w:t>общий анализ мочи не реже 1 раза в месяц;</w:t>
      </w:r>
    </w:p>
    <w:p w:rsidR="009A5D67" w:rsidRDefault="009A5D67" w:rsidP="009A5D67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определение содержания билирубина, АЛТ, АСТ в крови не реже 1 раза в месяц;</w:t>
      </w:r>
    </w:p>
    <w:p w:rsidR="009A5D67" w:rsidRDefault="009A5D67" w:rsidP="009A5D67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ЭКГ (интервал QT) ежемесячно при приеме </w:t>
      </w:r>
      <w:proofErr w:type="spellStart"/>
      <w:r>
        <w:rPr>
          <w:rFonts w:eastAsia="Times New Roman"/>
        </w:rPr>
        <w:t>бедаквилина</w:t>
      </w:r>
      <w:proofErr w:type="spellEnd"/>
      <w:r>
        <w:rPr>
          <w:rFonts w:eastAsia="Times New Roman"/>
        </w:rPr>
        <w:t>;</w:t>
      </w:r>
    </w:p>
    <w:p w:rsidR="009A5D67" w:rsidRDefault="009A5D67" w:rsidP="009A5D67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обзорная рентгенограмма органов грудной клетки через два месяца от начала лечения и затем каждые два месяца при лечении по I, II и III режимам химиотерапии и каждые три месяца при лечении по IV и V режимам;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 xml:space="preserve">Контрольные обследования в фазе продолжения </w:t>
      </w:r>
      <w:proofErr w:type="spellStart"/>
      <w:r>
        <w:rPr>
          <w:rStyle w:val="a5"/>
        </w:rPr>
        <w:t>лечения</w:t>
      </w:r>
      <w:r>
        <w:t>Мониторинг</w:t>
      </w:r>
      <w:proofErr w:type="spellEnd"/>
      <w:r>
        <w:t xml:space="preserve"> эффективности и переносимости противотуберкулезных и антибактериальных </w:t>
      </w:r>
      <w:proofErr w:type="spellStart"/>
      <w:r>
        <w:t>препаратовПеречень</w:t>
      </w:r>
      <w:proofErr w:type="spellEnd"/>
      <w:r>
        <w:t xml:space="preserve"> обследований:</w:t>
      </w:r>
    </w:p>
    <w:p w:rsidR="009A5D67" w:rsidRDefault="009A5D67" w:rsidP="009A5D67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общий анализ крови не реже 1 раза в 3 месяца;</w:t>
      </w:r>
    </w:p>
    <w:p w:rsidR="009A5D67" w:rsidRDefault="009A5D67" w:rsidP="009A5D67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общий анализ мочи не реже 1 раза в 3 месяца;</w:t>
      </w:r>
    </w:p>
    <w:p w:rsidR="009A5D67" w:rsidRDefault="009A5D67" w:rsidP="009A5D67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определение содержания билирубина, АЛТ, АСТ в крови 1 раз в 3 месяца;</w:t>
      </w:r>
    </w:p>
    <w:p w:rsidR="009A5D67" w:rsidRDefault="009A5D67" w:rsidP="009A5D67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ЭКГ (интервал QT) ежемесячно при приеме </w:t>
      </w:r>
      <w:proofErr w:type="spellStart"/>
      <w:r>
        <w:rPr>
          <w:rFonts w:eastAsia="Times New Roman"/>
        </w:rPr>
        <w:t>бедаквилина</w:t>
      </w:r>
      <w:proofErr w:type="spellEnd"/>
      <w:r>
        <w:rPr>
          <w:rFonts w:eastAsia="Times New Roman"/>
        </w:rPr>
        <w:t>;</w:t>
      </w:r>
    </w:p>
    <w:p w:rsidR="009A5D67" w:rsidRDefault="009A5D67" w:rsidP="009A5D67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обзорная рентгенограмма органов грудной клетки через два месяца от начала лечения и затем каждые два месяца при лечении по I, II и III режимам химиотерапии и каждые три месяца при лечении по IV и V режимам;</w:t>
      </w:r>
    </w:p>
    <w:p w:rsidR="009A5D67" w:rsidRDefault="009A5D67" w:rsidP="009A5D67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МСКТ органов грудной клетки через шесть месяцев лечения.</w:t>
      </w:r>
    </w:p>
    <w:p w:rsidR="009A5D67" w:rsidRDefault="009A5D67" w:rsidP="009A5D67">
      <w:pPr>
        <w:pStyle w:val="2"/>
        <w:spacing w:line="276" w:lineRule="auto"/>
      </w:pPr>
      <w:r>
        <w:rPr>
          <w:rFonts w:eastAsia="Times New Roman"/>
        </w:rPr>
        <w:t>Лечение</w:t>
      </w:r>
    </w:p>
    <w:p w:rsidR="009A5D67" w:rsidRDefault="009A5D67" w:rsidP="009A5D67">
      <w:pPr>
        <w:pStyle w:val="3"/>
        <w:spacing w:line="276" w:lineRule="auto"/>
      </w:pPr>
      <w:r>
        <w:rPr>
          <w:rFonts w:eastAsia="Times New Roman"/>
        </w:rPr>
        <w:t>Химиотерапия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>Выбор режима химиотерапии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>Назначение II РХТ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>Длительность химиотерапии по II РХТ более 6 месяцев</w:t>
      </w:r>
    </w:p>
    <w:p w:rsidR="009A5D67" w:rsidRDefault="009A5D67" w:rsidP="009A5D67">
      <w:pPr>
        <w:pStyle w:val="a4"/>
        <w:spacing w:line="276" w:lineRule="auto"/>
      </w:pPr>
      <w:r>
        <w:t>Продление по решению врачебной комиссии до 9-12 месяцев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>Переход на фазу продолжения терапии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>Назначение комбинации из четырех противотуберкулезных лекарственных препаратов первого и второго ряда</w:t>
      </w:r>
    </w:p>
    <w:p w:rsidR="009A5D67" w:rsidRDefault="009A5D67" w:rsidP="009A5D67">
      <w:pPr>
        <w:pStyle w:val="a4"/>
        <w:spacing w:line="276" w:lineRule="auto"/>
      </w:pPr>
      <w:r>
        <w:t>С учетом лекарственной чувствительности</w:t>
      </w:r>
    </w:p>
    <w:p w:rsidR="009A5D67" w:rsidRDefault="009A5D67" w:rsidP="009A5D67">
      <w:pPr>
        <w:pStyle w:val="a4"/>
        <w:spacing w:line="276" w:lineRule="auto"/>
      </w:pPr>
      <w:proofErr w:type="spellStart"/>
      <w:r>
        <w:rPr>
          <w:rStyle w:val="a5"/>
        </w:rPr>
        <w:t>Рифампицин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пиразинамид</w:t>
      </w:r>
      <w:proofErr w:type="spellEnd"/>
      <w:r>
        <w:rPr>
          <w:rStyle w:val="a5"/>
        </w:rPr>
        <w:t xml:space="preserve"> и </w:t>
      </w:r>
      <w:proofErr w:type="spellStart"/>
      <w:r>
        <w:rPr>
          <w:rStyle w:val="a5"/>
        </w:rPr>
        <w:t>этамбутол</w:t>
      </w:r>
      <w:proofErr w:type="spellEnd"/>
    </w:p>
    <w:p w:rsidR="009A5D67" w:rsidRDefault="009A5D67" w:rsidP="009A5D67">
      <w:pPr>
        <w:pStyle w:val="a4"/>
        <w:spacing w:line="276" w:lineRule="auto"/>
      </w:pPr>
      <w:r>
        <w:t>Три основных препарата</w:t>
      </w:r>
    </w:p>
    <w:p w:rsidR="009A5D67" w:rsidRDefault="009A5D67" w:rsidP="009A5D67">
      <w:pPr>
        <w:pStyle w:val="a4"/>
        <w:spacing w:line="276" w:lineRule="auto"/>
      </w:pPr>
      <w:proofErr w:type="spellStart"/>
      <w:r>
        <w:rPr>
          <w:rStyle w:val="a5"/>
        </w:rPr>
        <w:t>Левофлоксацин</w:t>
      </w:r>
      <w:proofErr w:type="spellEnd"/>
    </w:p>
    <w:p w:rsidR="009A5D67" w:rsidRDefault="009A5D67" w:rsidP="009A5D67">
      <w:pPr>
        <w:pStyle w:val="a4"/>
        <w:spacing w:line="276" w:lineRule="auto"/>
      </w:pPr>
      <w:r>
        <w:lastRenderedPageBreak/>
        <w:t>В качестве четвертого лекарственного препарата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>Мониторинг нежелательных явлений на противотуберкулезные препараты</w:t>
      </w:r>
    </w:p>
    <w:p w:rsidR="009A5D67" w:rsidRDefault="009A5D67" w:rsidP="009A5D67">
      <w:pPr>
        <w:pStyle w:val="3"/>
        <w:spacing w:line="276" w:lineRule="auto"/>
      </w:pPr>
      <w:r>
        <w:rPr>
          <w:rFonts w:eastAsia="Times New Roman"/>
        </w:rPr>
        <w:t>Хирургическое лечение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>Решение вопроса о возможности и сроках проведения хирургического лечения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>Консультации врачей-специалистов</w:t>
      </w:r>
    </w:p>
    <w:p w:rsidR="009A5D67" w:rsidRDefault="009A5D67" w:rsidP="009A5D67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врача-фтизиатра</w:t>
      </w:r>
    </w:p>
    <w:p w:rsidR="009A5D67" w:rsidRDefault="009A5D67" w:rsidP="009A5D67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врача-хирурга</w:t>
      </w:r>
    </w:p>
    <w:p w:rsidR="009A5D67" w:rsidRDefault="009A5D67" w:rsidP="009A5D67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врача-анестезиолога – реаниматолога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>Оптимальное сочетание химиотерапии и хирургического лечения</w:t>
      </w:r>
    </w:p>
    <w:p w:rsidR="009A5D67" w:rsidRDefault="009A5D67" w:rsidP="009A5D67">
      <w:pPr>
        <w:pStyle w:val="2"/>
        <w:spacing w:line="276" w:lineRule="auto"/>
      </w:pPr>
      <w:r>
        <w:rPr>
          <w:rFonts w:eastAsia="Times New Roman"/>
        </w:rPr>
        <w:t>Реабилитация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>Реабилитация на стационарном этапе</w:t>
      </w:r>
    </w:p>
    <w:p w:rsidR="009A5D67" w:rsidRDefault="009A5D67" w:rsidP="009A5D67">
      <w:pPr>
        <w:pStyle w:val="a4"/>
        <w:spacing w:line="276" w:lineRule="auto"/>
      </w:pPr>
      <w:r>
        <w:t>Начинать следует с самого начала лечения</w:t>
      </w:r>
    </w:p>
    <w:p w:rsidR="009A5D67" w:rsidRDefault="009A5D67" w:rsidP="009A5D67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охранительный режим;</w:t>
      </w:r>
    </w:p>
    <w:p w:rsidR="009A5D67" w:rsidRDefault="009A5D67" w:rsidP="009A5D67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особая диета (стол№11);</w:t>
      </w:r>
    </w:p>
    <w:p w:rsidR="009A5D67" w:rsidRDefault="009A5D67" w:rsidP="009A5D67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нормализация эндокринных и иммунных взаимоотношений;</w:t>
      </w:r>
    </w:p>
    <w:p w:rsidR="009A5D67" w:rsidRDefault="009A5D67" w:rsidP="009A5D67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активизация механизмов резистентности организма;</w:t>
      </w:r>
    </w:p>
    <w:p w:rsidR="009A5D67" w:rsidRDefault="009A5D67" w:rsidP="009A5D67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стимуляция </w:t>
      </w:r>
      <w:proofErr w:type="spellStart"/>
      <w:r>
        <w:rPr>
          <w:rFonts w:eastAsia="Times New Roman"/>
        </w:rPr>
        <w:t>репаративных</w:t>
      </w:r>
      <w:proofErr w:type="spellEnd"/>
      <w:r>
        <w:rPr>
          <w:rFonts w:eastAsia="Times New Roman"/>
        </w:rPr>
        <w:t xml:space="preserve"> процессов;</w:t>
      </w:r>
    </w:p>
    <w:p w:rsidR="009A5D67" w:rsidRDefault="009A5D67" w:rsidP="009A5D67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профилактика </w:t>
      </w:r>
      <w:proofErr w:type="spellStart"/>
      <w:r>
        <w:rPr>
          <w:rFonts w:eastAsia="Times New Roman"/>
        </w:rPr>
        <w:t>хронизации</w:t>
      </w:r>
      <w:proofErr w:type="spellEnd"/>
      <w:r>
        <w:rPr>
          <w:rFonts w:eastAsia="Times New Roman"/>
        </w:rPr>
        <w:t xml:space="preserve"> инфекции и осложнений;</w:t>
      </w:r>
    </w:p>
    <w:p w:rsidR="009A5D67" w:rsidRDefault="009A5D67" w:rsidP="009A5D67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психологическая поддержка;</w:t>
      </w:r>
    </w:p>
    <w:p w:rsidR="009A5D67" w:rsidRDefault="009A5D67" w:rsidP="009A5D67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социальная поддержка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>Реабилитация на санаторном этапе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>Реабилитация на амбулаторном этапе</w:t>
      </w:r>
    </w:p>
    <w:p w:rsidR="009A5D67" w:rsidRDefault="009A5D67" w:rsidP="009A5D67">
      <w:pPr>
        <w:pStyle w:val="2"/>
        <w:spacing w:line="276" w:lineRule="auto"/>
      </w:pPr>
      <w:r>
        <w:rPr>
          <w:rFonts w:eastAsia="Times New Roman"/>
        </w:rPr>
        <w:t>Профилактика и диспансерное наблюдение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>Длительное диспансерное наблюдение</w:t>
      </w:r>
    </w:p>
    <w:p w:rsidR="009A5D67" w:rsidRDefault="009A5D67" w:rsidP="009A5D67">
      <w:pPr>
        <w:pStyle w:val="a4"/>
        <w:spacing w:line="276" w:lineRule="auto"/>
      </w:pPr>
      <w:r>
        <w:t>2-4 года, иногда до 17 лет включительно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>Санитарная профилактика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lastRenderedPageBreak/>
        <w:t>Специфическая профилактика</w:t>
      </w:r>
    </w:p>
    <w:p w:rsidR="009A5D67" w:rsidRDefault="009A5D67" w:rsidP="009A5D67">
      <w:pPr>
        <w:pStyle w:val="a4"/>
        <w:spacing w:line="276" w:lineRule="auto"/>
      </w:pPr>
      <w:r>
        <w:rPr>
          <w:rStyle w:val="a5"/>
        </w:rPr>
        <w:t xml:space="preserve">Превентивное лечение и </w:t>
      </w:r>
      <w:proofErr w:type="spellStart"/>
      <w:r>
        <w:rPr>
          <w:rStyle w:val="a5"/>
        </w:rPr>
        <w:t>химиопрофилактика</w:t>
      </w:r>
      <w:proofErr w:type="spellEnd"/>
      <w:r>
        <w:rPr>
          <w:rStyle w:val="a5"/>
        </w:rPr>
        <w:t xml:space="preserve"> детям из групп повышенного риска</w:t>
      </w:r>
    </w:p>
    <w:p w:rsidR="009A5D67" w:rsidRDefault="009A5D67" w:rsidP="009A5D67">
      <w:pPr>
        <w:pStyle w:val="a4"/>
        <w:spacing w:line="276" w:lineRule="auto"/>
      </w:pPr>
      <w:r>
        <w:t> </w:t>
      </w:r>
    </w:p>
    <w:p w:rsidR="009A5D67" w:rsidRDefault="009A5D67" w:rsidP="009A5D67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06.02.2023</w:t>
      </w:r>
    </w:p>
    <w:p w:rsidR="008B1C2F" w:rsidRDefault="008B1C2F">
      <w:bookmarkStart w:id="0" w:name="_GoBack"/>
      <w:bookmarkEnd w:id="0"/>
    </w:p>
    <w:sectPr w:rsidR="008B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86F"/>
    <w:multiLevelType w:val="multilevel"/>
    <w:tmpl w:val="08F4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632DC"/>
    <w:multiLevelType w:val="multilevel"/>
    <w:tmpl w:val="C700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6638D"/>
    <w:multiLevelType w:val="multilevel"/>
    <w:tmpl w:val="B14E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931045"/>
    <w:multiLevelType w:val="multilevel"/>
    <w:tmpl w:val="A78E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8C2FBF"/>
    <w:multiLevelType w:val="multilevel"/>
    <w:tmpl w:val="F146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BF69D8"/>
    <w:multiLevelType w:val="multilevel"/>
    <w:tmpl w:val="C214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010A13"/>
    <w:multiLevelType w:val="multilevel"/>
    <w:tmpl w:val="75EA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BA5EA6"/>
    <w:multiLevelType w:val="multilevel"/>
    <w:tmpl w:val="9954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67"/>
    <w:rsid w:val="008B1C2F"/>
    <w:rsid w:val="009A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8A720-5375-46BC-9431-6A51D390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D6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9A5D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9A5D67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A5D67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5D6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9A5D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5D6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A5D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recomend/507_2" TargetMode="External"/><Relationship Id="rId5" Type="http://schemas.openxmlformats.org/officeDocument/2006/relationships/hyperlink" Target="https://1c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Вдовин</dc:creator>
  <cp:keywords/>
  <dc:description/>
  <cp:lastModifiedBy>Александр Г. Вдовин</cp:lastModifiedBy>
  <cp:revision>1</cp:revision>
  <dcterms:created xsi:type="dcterms:W3CDTF">2023-02-06T07:00:00Z</dcterms:created>
  <dcterms:modified xsi:type="dcterms:W3CDTF">2023-02-06T07:00:00Z</dcterms:modified>
</cp:coreProperties>
</file>