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15" w:rsidRDefault="00DE1215" w:rsidP="00DE1215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лечения ребенка с туберкулезом (I режим химиотерапии)</w:t>
      </w:r>
    </w:p>
    <w:p w:rsidR="00DE1215" w:rsidRDefault="00DE1215" w:rsidP="00DE1215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>Туберкулез у детей</w:t>
        </w:r>
      </w:hyperlink>
      <w:r>
        <w:rPr>
          <w:rFonts w:eastAsia="Times New Roman"/>
        </w:rPr>
        <w:t xml:space="preserve">».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573"/>
        <w:gridCol w:w="7766"/>
      </w:tblGrid>
      <w:tr w:rsidR="00DE1215" w:rsidTr="00DE1215"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15" w:rsidRDefault="00DE1215">
            <w:pPr>
              <w:pStyle w:val="a4"/>
            </w:pPr>
            <w:r>
              <w:rPr>
                <w:rStyle w:val="a5"/>
              </w:rPr>
              <w:t>Пациенты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15" w:rsidRDefault="00DE1215">
            <w:pPr>
              <w:pStyle w:val="a4"/>
            </w:pPr>
            <w:r>
              <w:t>дети, мальчики, девочки</w:t>
            </w:r>
          </w:p>
        </w:tc>
      </w:tr>
      <w:tr w:rsidR="00DE1215" w:rsidTr="00DE1215"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15" w:rsidRDefault="00DE1215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15" w:rsidRDefault="00DE1215">
            <w:pPr>
              <w:pStyle w:val="a4"/>
            </w:pPr>
            <w:r>
              <w:t>врач-фтизиатр, врач-фтизиатр участковый, врач-педиатр, врач-медицинский микробиолог</w:t>
            </w:r>
          </w:p>
        </w:tc>
      </w:tr>
    </w:tbl>
    <w:p w:rsidR="00DE1215" w:rsidRDefault="00DE1215" w:rsidP="00DE1215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DE1215" w:rsidRDefault="00DE1215" w:rsidP="00DE1215">
      <w:pPr>
        <w:pStyle w:val="3"/>
        <w:spacing w:line="276" w:lineRule="auto"/>
      </w:pPr>
      <w:r>
        <w:rPr>
          <w:rFonts w:eastAsia="Times New Roman"/>
        </w:rPr>
        <w:t>Первичные консультации врачей-специалистов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Прием (осмотр, консультация) врача-офтальмолога первичный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Осмотр (консультация) врачом-анестезиологом-реаниматологом первичный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Прием (осмотр, консультация) врача-фтизиатра первичный</w:t>
      </w:r>
    </w:p>
    <w:p w:rsidR="00DE1215" w:rsidRDefault="00DE1215" w:rsidP="00DE1215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Общий (клинический) анализ крови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Общий (клинический) анализ мочи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Цитологическое исследование плевральной жидкости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Внутрикожная проба с туберкулезным аллергеном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Микробиологическое (культуральное) исследование мокроты на микобактерии туберкулеза (Mycobacterium tuberculosis complex)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Микробиологическое (культуральное) исследование мокроты на плотных питательных средах на микобактерии туберкулеза (Mycobacterium tuberculosis complex)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Микробиологическое (культуральное) исследование мокроты на жидких питательных средах на микобактерии туберкулеза (Mycobacterium tuberculosis complex)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Микроскопическое исследование мокроты на микобактерии (Mycobacterium spp.)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lastRenderedPageBreak/>
        <w:t>Определение ДНК Mycobacterium tuberculosis complex (микобактерий туберкулеза) в мокроте, бронхоальвеолярной лаважной жидкости или промывных водах бронхов методом ПЦР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Микробиологическое (культуральное) исследование для определения чувствительности микобактерий туберкулеза (Mycobacterium tuberculosis complex) к противотуберкулезным препаратам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жидких питательных средах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жидких питательных средах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Микробиологическое (культуральное) исследование для определения чувствительности (Mycobacterium tuberculosis complex) к одному препарату включая резервные на жидких питательных средах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плотных питательных средах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плотных питательных средах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Молекулярно-биологическое исследование образцов различного биологического материала для определения чувствительности микобактерий к противотуберкулезным препаратам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 xml:space="preserve">Определение </w:t>
      </w:r>
      <w:proofErr w:type="gramStart"/>
      <w:r>
        <w:rPr>
          <w:rStyle w:val="a5"/>
        </w:rPr>
        <w:t>мутаций</w:t>
      </w:r>
      <w:proofErr w:type="gramEnd"/>
      <w:r>
        <w:rPr>
          <w:rStyle w:val="a5"/>
        </w:rPr>
        <w:t xml:space="preserve"> ассоциированных с лекарственной устойчивостью в ДНК микобактерий туберкулеза (Mycobacterium tuberculosis complex)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Молекулярно-биологическое исследование гнойного отделяемого на микобактерий туберкулеза (Mycobacterium tuberculosis) методом ПЦР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Микробиологическое (культуральное) исследование бронхоальвеолярной жидкости на микобактерии туберкулеза (Mycobacterium tuberculosis complex)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Микробиологическое (культуральное) исследование бронхоальвеолярной жидкости на плотных питательных средах на микобактерии туберкулеза (Mycobacterium tuberculosis complex)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lastRenderedPageBreak/>
        <w:t>Микробиологическое (культуральное) исследование бронхоальвеолярной жидкости на жидких питательных средах на микобактерии туберкулеза (Mycobacterium tuberculosis complex)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Микроскопическое исследование гнойного отделяемого на микобактерий туберкулеза (Mycobacterium tuberculosis)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Молекулярно-биологическое исследование отделяемого женских половых органов на микобактерий туберкулеза (Mycobacterium tuberculosis) методом ПЦР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Определение ДНК микобактерий туберкулеза (Mycobacterium tuberculosis complex) в менструальной крови методом ПЦР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Микробиологическое (культуральное) исследование спинномозговой жидкости на микобактерий туберкулеза (Mycobacterium tuberculosis complex)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Микробиологическое (культуральное) исследование спинномозговой жидкости на плотных питательных средах на микобактерии туберкулеза (Mycobacterium tuberculosis complex)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Микробиологическое (культуральное) исследование спинномозговой жидкости на жидких питательных средах на микобактерии туберкулеза (Mycobacterium tuberculosis complex)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Определение ДНК микобактерий туберкулеза (Mycobacterium tuberculosis complex) в моче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Микроскопическое исследование мочи на микобактерий туберкулеза (Mycobacterium tuberculosis)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Молекулярно-биологическое исследование культуры микобактерий для определения чувствительности микобактерий к противотуберкулезным препаратам</w:t>
      </w:r>
    </w:p>
    <w:p w:rsidR="00DE1215" w:rsidRDefault="00DE1215" w:rsidP="00DE1215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Рентгенография легких цифровая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Спиральная компьютерная томография легких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 xml:space="preserve">Получение </w:t>
      </w:r>
      <w:proofErr w:type="gramStart"/>
      <w:r>
        <w:rPr>
          <w:rStyle w:val="a5"/>
        </w:rPr>
        <w:t>трахео-бронхиального</w:t>
      </w:r>
      <w:proofErr w:type="gramEnd"/>
      <w:r>
        <w:rPr>
          <w:rStyle w:val="a5"/>
        </w:rPr>
        <w:t xml:space="preserve"> смыва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Ультразвуковое исследование плевральной полости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Бронхоскопия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Бронхоскопия жестким бронхоскопом рентгенохирургическая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lastRenderedPageBreak/>
        <w:t>Трахеобронхоскопия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Видеотрахеобронхоскопия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Компьютерная томография органов грудной полости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Компьютерная томография органов грудной полости с внутривенным болюсным контрастированием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Биопсия плевры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Ультразвуковое исследование органов брюшной полости (комплексное)</w:t>
      </w:r>
    </w:p>
    <w:p w:rsidR="00DE1215" w:rsidRDefault="00DE1215" w:rsidP="00DE1215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Контроль и лечение</w:t>
      </w:r>
    </w:p>
    <w:p w:rsidR="00DE1215" w:rsidRDefault="00DE1215" w:rsidP="00DE1215">
      <w:pPr>
        <w:pStyle w:val="3"/>
        <w:spacing w:line="276" w:lineRule="auto"/>
      </w:pPr>
      <w:r>
        <w:rPr>
          <w:rFonts w:eastAsia="Times New Roman"/>
        </w:rPr>
        <w:t>Повторные приемы врачей-специалистов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Прием (осмотр, консультация) врача-офтальмолога повторный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Прием (осмотр, консультация) врача-фтизиатра повторный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Ежедневный осмотр врачом-фтизиатром с наблюдением и уходом среднего и младшего медицинского персонала в отделении стационара</w:t>
      </w:r>
    </w:p>
    <w:p w:rsidR="00DE1215" w:rsidRDefault="00DE1215" w:rsidP="00DE1215">
      <w:pPr>
        <w:pStyle w:val="3"/>
        <w:spacing w:line="276" w:lineRule="auto"/>
      </w:pPr>
      <w:r>
        <w:rPr>
          <w:rFonts w:eastAsia="Times New Roman"/>
        </w:rPr>
        <w:t>Лабораторный контроль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Общий (клинический) анализ крови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Общий (клинический) анализ мочи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Микроскопическое исследование мокроты на микобактерии (Mycobacterium spp.)</w:t>
      </w:r>
    </w:p>
    <w:p w:rsidR="00DE1215" w:rsidRDefault="00DE1215" w:rsidP="00DE1215">
      <w:pPr>
        <w:pStyle w:val="3"/>
        <w:spacing w:line="276" w:lineRule="auto"/>
      </w:pPr>
      <w:r>
        <w:rPr>
          <w:rFonts w:eastAsia="Times New Roman"/>
        </w:rPr>
        <w:t>Инструментальный контроль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Спиральная компьютерная томография легких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Рентгенография легких цифровая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Ультразвуковое исследование органов брюшной полости (комплексное)</w:t>
      </w:r>
    </w:p>
    <w:p w:rsidR="00DE1215" w:rsidRDefault="00DE1215" w:rsidP="00DE1215">
      <w:pPr>
        <w:pStyle w:val="3"/>
        <w:spacing w:line="276" w:lineRule="auto"/>
      </w:pPr>
      <w:r>
        <w:rPr>
          <w:rFonts w:eastAsia="Times New Roman"/>
        </w:rPr>
        <w:t>Хирургическое лечение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Наложение пневмоперитонеума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Эндоскопическая клапанная бронхоблокация</w:t>
      </w:r>
    </w:p>
    <w:p w:rsidR="00DE1215" w:rsidRDefault="00DE1215" w:rsidP="00DE1215">
      <w:pPr>
        <w:pStyle w:val="2"/>
        <w:spacing w:line="276" w:lineRule="auto"/>
      </w:pPr>
      <w:r>
        <w:rPr>
          <w:rFonts w:eastAsia="Times New Roman"/>
        </w:rPr>
        <w:lastRenderedPageBreak/>
        <w:t>Медикаментозное лечение 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Выбор режима химитерапии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Назначение I режима химиотерапии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Длительностью химиотерапии по I режиму не менее шести месяцев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азначение четырех противотуберкулезных препаратов первого ряда в фазу интенсивной терапии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Назначение двух–трех противотуберкулезных препаратов – в фазу продолжения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Мониторинг нежелательных явлений на противотуберкулезные препараты</w:t>
      </w:r>
    </w:p>
    <w:p w:rsidR="00DE1215" w:rsidRDefault="00DE1215" w:rsidP="00DE1215">
      <w:pPr>
        <w:pStyle w:val="3"/>
        <w:spacing w:line="276" w:lineRule="auto"/>
      </w:pPr>
      <w:r>
        <w:rPr>
          <w:rFonts w:eastAsia="Times New Roman"/>
        </w:rPr>
        <w:t>Антибактериальные препараты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Рифампицин – 400 мг</w:t>
      </w:r>
    </w:p>
    <w:p w:rsidR="00DE1215" w:rsidRDefault="00DE1215" w:rsidP="00DE1215">
      <w:pPr>
        <w:pStyle w:val="a4"/>
        <w:spacing w:line="276" w:lineRule="auto"/>
      </w:pPr>
      <w:r>
        <w:t>СКД-12000 мг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Рифампицин – 400 мг</w:t>
      </w:r>
    </w:p>
    <w:p w:rsidR="00DE1215" w:rsidRDefault="00DE1215" w:rsidP="00DE1215">
      <w:pPr>
        <w:pStyle w:val="a4"/>
        <w:spacing w:line="276" w:lineRule="auto"/>
      </w:pPr>
      <w:r>
        <w:t>СКД-24000 мг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Рифапентин – 400 мг</w:t>
      </w:r>
    </w:p>
    <w:p w:rsidR="00DE1215" w:rsidRDefault="00DE1215" w:rsidP="00DE1215">
      <w:pPr>
        <w:pStyle w:val="a4"/>
        <w:spacing w:line="276" w:lineRule="auto"/>
      </w:pPr>
      <w:r>
        <w:t>СКД-20400 мг</w:t>
      </w:r>
    </w:p>
    <w:p w:rsidR="00DE1215" w:rsidRDefault="00DE1215" w:rsidP="00DE1215">
      <w:pPr>
        <w:pStyle w:val="3"/>
        <w:spacing w:line="276" w:lineRule="auto"/>
      </w:pPr>
      <w:r>
        <w:rPr>
          <w:rFonts w:eastAsia="Times New Roman"/>
        </w:rPr>
        <w:t>Гидразиды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 xml:space="preserve">Изониазид – 400 мг </w:t>
      </w:r>
    </w:p>
    <w:p w:rsidR="00DE1215" w:rsidRDefault="00DE1215" w:rsidP="00DE1215">
      <w:pPr>
        <w:pStyle w:val="a4"/>
        <w:spacing w:line="276" w:lineRule="auto"/>
      </w:pPr>
      <w:r>
        <w:t>СКД-12000 мг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Изониазид – 400 мг</w:t>
      </w:r>
    </w:p>
    <w:p w:rsidR="00DE1215" w:rsidRDefault="00DE1215" w:rsidP="00DE1215">
      <w:pPr>
        <w:pStyle w:val="a4"/>
        <w:spacing w:line="276" w:lineRule="auto"/>
      </w:pPr>
      <w:r>
        <w:t>СКД-24000 мг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Изониазид – 400 мг</w:t>
      </w:r>
    </w:p>
    <w:p w:rsidR="00DE1215" w:rsidRDefault="00DE1215" w:rsidP="00DE1215">
      <w:pPr>
        <w:pStyle w:val="a4"/>
        <w:spacing w:line="276" w:lineRule="auto"/>
      </w:pPr>
      <w:r>
        <w:t>СКД-48000 мг</w:t>
      </w:r>
    </w:p>
    <w:p w:rsidR="00DE1215" w:rsidRDefault="00DE1215" w:rsidP="00DE1215">
      <w:pPr>
        <w:pStyle w:val="3"/>
        <w:spacing w:line="276" w:lineRule="auto"/>
      </w:pPr>
      <w:r>
        <w:rPr>
          <w:rFonts w:eastAsia="Times New Roman"/>
        </w:rPr>
        <w:t>Противотуберкулезные препараты другие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Пиразинамид – 800 мг</w:t>
      </w:r>
    </w:p>
    <w:p w:rsidR="00DE1215" w:rsidRDefault="00DE1215" w:rsidP="00DE1215">
      <w:pPr>
        <w:pStyle w:val="a4"/>
        <w:spacing w:line="276" w:lineRule="auto"/>
      </w:pPr>
      <w:r>
        <w:lastRenderedPageBreak/>
        <w:t>СКД-24000 мг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Пиразинамид – 800 мг</w:t>
      </w:r>
    </w:p>
    <w:p w:rsidR="00DE1215" w:rsidRDefault="00DE1215" w:rsidP="00DE1215">
      <w:pPr>
        <w:pStyle w:val="a4"/>
        <w:spacing w:line="276" w:lineRule="auto"/>
      </w:pPr>
      <w:r>
        <w:t>СКД-48000 мг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Пиразинамид – 800 мг</w:t>
      </w:r>
    </w:p>
    <w:p w:rsidR="00DE1215" w:rsidRDefault="00DE1215" w:rsidP="00DE1215">
      <w:pPr>
        <w:pStyle w:val="a4"/>
        <w:spacing w:line="276" w:lineRule="auto"/>
      </w:pPr>
      <w:r>
        <w:t>СКД-96000 мг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Этамбутол – 1 г</w:t>
      </w:r>
    </w:p>
    <w:p w:rsidR="00DE1215" w:rsidRDefault="00DE1215" w:rsidP="00DE1215">
      <w:pPr>
        <w:pStyle w:val="a4"/>
        <w:spacing w:line="276" w:lineRule="auto"/>
      </w:pPr>
      <w:r>
        <w:t>СКД-120 г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Этамбутол – 1 г</w:t>
      </w:r>
    </w:p>
    <w:p w:rsidR="00DE1215" w:rsidRDefault="00DE1215" w:rsidP="00DE1215">
      <w:pPr>
        <w:pStyle w:val="a4"/>
        <w:spacing w:line="276" w:lineRule="auto"/>
      </w:pPr>
      <w:r>
        <w:t>СКД-30 г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Этамбутол – 1 г</w:t>
      </w:r>
    </w:p>
    <w:p w:rsidR="00DE1215" w:rsidRDefault="00DE1215" w:rsidP="00DE1215">
      <w:pPr>
        <w:pStyle w:val="a4"/>
        <w:spacing w:line="276" w:lineRule="auto"/>
      </w:pPr>
      <w:r>
        <w:t>СКД-60 г</w:t>
      </w:r>
    </w:p>
    <w:p w:rsidR="00DE1215" w:rsidRDefault="00DE1215" w:rsidP="00DE1215">
      <w:pPr>
        <w:pStyle w:val="3"/>
        <w:spacing w:line="276" w:lineRule="auto"/>
      </w:pPr>
      <w:r>
        <w:rPr>
          <w:rFonts w:eastAsia="Times New Roman"/>
        </w:rPr>
        <w:t>Лечебное питание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Вариант диеты с повышенным количеством белка (высокобелковая диета (т)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Основной вариант стандартной диеты</w:t>
      </w:r>
    </w:p>
    <w:p w:rsidR="00DE1215" w:rsidRDefault="00DE1215" w:rsidP="00DE1215">
      <w:pPr>
        <w:pStyle w:val="2"/>
        <w:spacing w:line="276" w:lineRule="auto"/>
      </w:pPr>
      <w:r>
        <w:rPr>
          <w:rFonts w:eastAsia="Times New Roman"/>
        </w:rPr>
        <w:t>Реабилитация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Реабилитация на стационарном этапе</w:t>
      </w:r>
    </w:p>
    <w:p w:rsidR="00DE1215" w:rsidRDefault="00DE1215" w:rsidP="00DE1215">
      <w:pPr>
        <w:pStyle w:val="a4"/>
        <w:spacing w:line="276" w:lineRule="auto"/>
      </w:pPr>
      <w:r>
        <w:t>Начинать следует с самого начала лечения</w:t>
      </w:r>
    </w:p>
    <w:p w:rsidR="00DE1215" w:rsidRDefault="00DE1215" w:rsidP="00DE121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охранительный режим;</w:t>
      </w:r>
    </w:p>
    <w:p w:rsidR="00DE1215" w:rsidRDefault="00DE1215" w:rsidP="00DE121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особая диета (стол№11);</w:t>
      </w:r>
    </w:p>
    <w:p w:rsidR="00DE1215" w:rsidRDefault="00DE1215" w:rsidP="00DE121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нормализация эндокринных и иммунных взаимоотношений;</w:t>
      </w:r>
    </w:p>
    <w:p w:rsidR="00DE1215" w:rsidRDefault="00DE1215" w:rsidP="00DE121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активизация механизмов резистентности организма;</w:t>
      </w:r>
    </w:p>
    <w:p w:rsidR="00DE1215" w:rsidRDefault="00DE1215" w:rsidP="00DE121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стимуляция репаративных процессов;</w:t>
      </w:r>
    </w:p>
    <w:p w:rsidR="00DE1215" w:rsidRDefault="00DE1215" w:rsidP="00DE121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профилактика хронизации инфекции и осложнений;</w:t>
      </w:r>
    </w:p>
    <w:p w:rsidR="00DE1215" w:rsidRDefault="00DE1215" w:rsidP="00DE121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психологическая поддержка;</w:t>
      </w:r>
    </w:p>
    <w:p w:rsidR="00DE1215" w:rsidRDefault="00DE1215" w:rsidP="00DE121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социальная поддержка.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Реабилитация на санаторном этапе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lastRenderedPageBreak/>
        <w:t>Реабилитация на амбулаторном этапе</w:t>
      </w:r>
    </w:p>
    <w:p w:rsidR="00DE1215" w:rsidRDefault="00DE1215" w:rsidP="00DE1215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Профилактика и диспансерное наблюдение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Длительное диспансерное наблюдение</w:t>
      </w:r>
    </w:p>
    <w:p w:rsidR="00DE1215" w:rsidRDefault="00DE1215" w:rsidP="00DE1215">
      <w:pPr>
        <w:pStyle w:val="a4"/>
        <w:spacing w:line="276" w:lineRule="auto"/>
      </w:pPr>
      <w:r>
        <w:t>2-4 года, иногда до 17 лет включительно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Санитарная профилактика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Специфическая профилактика</w:t>
      </w:r>
    </w:p>
    <w:p w:rsidR="00DE1215" w:rsidRDefault="00DE1215" w:rsidP="00DE1215">
      <w:pPr>
        <w:pStyle w:val="a4"/>
        <w:spacing w:line="276" w:lineRule="auto"/>
      </w:pPr>
      <w:r>
        <w:rPr>
          <w:rStyle w:val="a5"/>
        </w:rPr>
        <w:t>Превентивное лечение и химиопрофилактика детям из групп повышенного риска</w:t>
      </w:r>
    </w:p>
    <w:p w:rsidR="00DE1215" w:rsidRDefault="00DE1215" w:rsidP="00DE1215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B311A6" w:rsidRDefault="00B311A6">
      <w:bookmarkStart w:id="0" w:name="_GoBack"/>
      <w:bookmarkEnd w:id="0"/>
    </w:p>
    <w:sectPr w:rsidR="00B3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21402"/>
    <w:multiLevelType w:val="multilevel"/>
    <w:tmpl w:val="6DBC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15"/>
    <w:rsid w:val="00B311A6"/>
    <w:rsid w:val="00D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1A6A8-9BE4-48D8-A6F2-A3A316A1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E12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E1215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E1215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21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E12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121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E1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507_2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2023-02-06T06:59:00Z</dcterms:created>
  <dcterms:modified xsi:type="dcterms:W3CDTF">2023-02-06T06:59:00Z</dcterms:modified>
</cp:coreProperties>
</file>