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74" w:rsidRDefault="00DD2274" w:rsidP="00DD2274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лечения ребенка с болезнью </w:t>
      </w:r>
      <w:proofErr w:type="spellStart"/>
      <w:r>
        <w:rPr>
          <w:rFonts w:eastAsia="Times New Roman"/>
        </w:rPr>
        <w:t>Шёйермана</w:t>
      </w:r>
      <w:proofErr w:type="spellEnd"/>
    </w:p>
    <w:p w:rsidR="00DD2274" w:rsidRDefault="00DD2274" w:rsidP="00DD227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Протокол подготовлен экспертами </w:t>
      </w:r>
      <w:hyperlink r:id="rId4" w:tgtFrame="_self" w:history="1">
        <w:r>
          <w:rPr>
            <w:rStyle w:val="a3"/>
            <w:rFonts w:eastAsia="Times New Roman"/>
          </w:rPr>
          <w:t>Системы Консилиум</w:t>
        </w:r>
      </w:hyperlink>
      <w:r>
        <w:rPr>
          <w:rFonts w:eastAsia="Times New Roman"/>
        </w:rPr>
        <w:t xml:space="preserve"> на основании клинической рекомендации «</w:t>
      </w:r>
      <w:hyperlink r:id="rId5" w:tgtFrame="_self" w:history="1">
        <w:r>
          <w:rPr>
            <w:rStyle w:val="a3"/>
            <w:rFonts w:eastAsia="Times New Roman"/>
          </w:rPr>
          <w:t xml:space="preserve">Болезнь </w:t>
        </w:r>
        <w:proofErr w:type="spellStart"/>
        <w:r>
          <w:rPr>
            <w:rStyle w:val="a3"/>
            <w:rFonts w:eastAsia="Times New Roman"/>
          </w:rPr>
          <w:t>Шёйермана</w:t>
        </w:r>
        <w:proofErr w:type="spellEnd"/>
      </w:hyperlink>
      <w:r>
        <w:rPr>
          <w:rFonts w:eastAsia="Times New Roman"/>
        </w:rPr>
        <w:t xml:space="preserve">». 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Разработано на основе «Болезнь </w:t>
      </w:r>
      <w:proofErr w:type="spellStart"/>
      <w:r>
        <w:rPr>
          <w:rStyle w:val="a5"/>
        </w:rPr>
        <w:t>Шёйермана</w:t>
      </w:r>
      <w:proofErr w:type="spellEnd"/>
      <w:r>
        <w:rPr>
          <w:rStyle w:val="a5"/>
        </w:rPr>
        <w:t>: клиническая рекомендация», одобренной Минздравом России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38"/>
        <w:gridCol w:w="7501"/>
      </w:tblGrid>
      <w:tr w:rsidR="00DD2274" w:rsidTr="00DD2274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74" w:rsidRDefault="00DD2274">
            <w:pPr>
              <w:pStyle w:val="a4"/>
            </w:pPr>
            <w:r>
              <w:rPr>
                <w:rStyle w:val="a5"/>
              </w:rPr>
              <w:t>Категория возрастная</w:t>
            </w:r>
          </w:p>
        </w:tc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74" w:rsidRDefault="00DD2274">
            <w:pPr>
              <w:pStyle w:val="a4"/>
            </w:pPr>
            <w:r>
              <w:t>дети</w:t>
            </w:r>
          </w:p>
        </w:tc>
      </w:tr>
      <w:tr w:rsidR="00DD2274" w:rsidTr="00DD2274">
        <w:tc>
          <w:tcPr>
            <w:tcW w:w="9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74" w:rsidRDefault="00DD2274">
            <w:pPr>
              <w:pStyle w:val="a4"/>
            </w:pPr>
            <w:r>
              <w:rPr>
                <w:rStyle w:val="a5"/>
              </w:rPr>
              <w:t>Врач</w:t>
            </w:r>
          </w:p>
        </w:tc>
        <w:tc>
          <w:tcPr>
            <w:tcW w:w="4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2274" w:rsidRDefault="00DD2274">
            <w:pPr>
              <w:pStyle w:val="a4"/>
            </w:pPr>
            <w:r>
              <w:t>врач-генетик, врач – детский хирург, врач-невролог, врач-неонатолог, врач-педиатр, врач-рентгенолог, врач – травматолог-ортопед, врач по лечебной физкультуре</w:t>
            </w:r>
          </w:p>
        </w:tc>
      </w:tr>
    </w:tbl>
    <w:p w:rsidR="00DD2274" w:rsidRDefault="00DD2274" w:rsidP="00DD2274">
      <w:pPr>
        <w:pStyle w:val="2"/>
        <w:spacing w:line="276" w:lineRule="auto"/>
      </w:pPr>
      <w:r>
        <w:rPr>
          <w:rFonts w:eastAsia="Times New Roman"/>
        </w:rPr>
        <w:t>Диагностика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Критерии установления диагноза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Сбор жалоб и анамнеза</w:t>
      </w:r>
    </w:p>
    <w:p w:rsidR="00DD2274" w:rsidRDefault="00DD2274" w:rsidP="00DD2274">
      <w:pPr>
        <w:pStyle w:val="a4"/>
        <w:spacing w:line="276" w:lineRule="auto"/>
      </w:pPr>
      <w:proofErr w:type="spellStart"/>
      <w:r>
        <w:rPr>
          <w:rStyle w:val="a5"/>
        </w:rPr>
        <w:t>Физикальное</w:t>
      </w:r>
      <w:proofErr w:type="spellEnd"/>
      <w:r>
        <w:rPr>
          <w:rStyle w:val="a5"/>
        </w:rPr>
        <w:t xml:space="preserve"> обследование</w:t>
      </w:r>
    </w:p>
    <w:p w:rsidR="00DD2274" w:rsidRDefault="00DD2274" w:rsidP="00DD2274">
      <w:pPr>
        <w:pStyle w:val="3"/>
        <w:spacing w:line="276" w:lineRule="auto"/>
      </w:pPr>
      <w:r>
        <w:rPr>
          <w:rFonts w:eastAsia="Times New Roman"/>
        </w:rPr>
        <w:t>Лабораторная диагностика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Специфические лабораторные исследования для диагностики болезни </w:t>
      </w:r>
      <w:proofErr w:type="spellStart"/>
      <w:r>
        <w:rPr>
          <w:rStyle w:val="a5"/>
        </w:rPr>
        <w:t>Шёйермана</w:t>
      </w:r>
      <w:proofErr w:type="spellEnd"/>
      <w:r>
        <w:rPr>
          <w:rStyle w:val="a5"/>
        </w:rPr>
        <w:t xml:space="preserve"> не разработаны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Генетическое исследование для верификации болезни </w:t>
      </w:r>
      <w:proofErr w:type="spellStart"/>
      <w:r>
        <w:rPr>
          <w:rStyle w:val="a5"/>
        </w:rPr>
        <w:t>Шёйермана</w:t>
      </w:r>
      <w:proofErr w:type="spellEnd"/>
    </w:p>
    <w:p w:rsidR="00DD2274" w:rsidRDefault="00DD2274" w:rsidP="00DD2274">
      <w:pPr>
        <w:pStyle w:val="a4"/>
        <w:spacing w:line="276" w:lineRule="auto"/>
      </w:pPr>
      <w:r>
        <w:t xml:space="preserve">недоступно в рутинной </w:t>
      </w:r>
      <w:proofErr w:type="spellStart"/>
      <w:r>
        <w:t>вертебрологической</w:t>
      </w:r>
      <w:proofErr w:type="spellEnd"/>
      <w:r>
        <w:t xml:space="preserve"> практике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Консультация врача-генетика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Предоперационное лабораторное обследование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Расширенный объем лабораторной диагностики по назначению врачей – специалистов</w:t>
      </w:r>
    </w:p>
    <w:p w:rsidR="00DD2274" w:rsidRDefault="00DD2274" w:rsidP="00DD2274">
      <w:pPr>
        <w:pStyle w:val="a4"/>
        <w:spacing w:line="276" w:lineRule="auto"/>
      </w:pPr>
      <w:r>
        <w:t>Врача-генетика, врача-аллерголога-иммунолога, врача-эндокринолога, врача-педиатра, врача-терапевта, врача-анестезиолога-реаниматолога и других врачей-специалистов.</w:t>
      </w:r>
    </w:p>
    <w:p w:rsidR="00DD2274" w:rsidRDefault="00DD2274" w:rsidP="00DD2274">
      <w:pPr>
        <w:pStyle w:val="3"/>
        <w:spacing w:line="276" w:lineRule="auto"/>
      </w:pPr>
      <w:r>
        <w:rPr>
          <w:rFonts w:eastAsia="Times New Roman"/>
        </w:rPr>
        <w:t>Инструментальная диагностика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Рентгенография грудного, пояснично-крестцового отдела позвоночника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lastRenderedPageBreak/>
        <w:t>Компьютерная томография позвоночника (грудного отдела, пояснично-крестцового отдела)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Магнитно-резонансная томография позвоночника (грудного отдела, пояснично-крестцового отдела)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Топография позвоночника компьютерная оптическая</w:t>
      </w:r>
    </w:p>
    <w:p w:rsidR="00DD2274" w:rsidRDefault="00DD2274" w:rsidP="00DD2274">
      <w:pPr>
        <w:pStyle w:val="3"/>
        <w:spacing w:line="276" w:lineRule="auto"/>
      </w:pPr>
      <w:r>
        <w:rPr>
          <w:rFonts w:eastAsia="Times New Roman"/>
        </w:rPr>
        <w:t>Предоперационное обследование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РГ легких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ЭКГ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ЭХО-КГ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УЗИ органов брюшной полости комплексное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Исследование неспровоцированных дыхательных объемов и потоков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ЭГДС </w:t>
      </w:r>
    </w:p>
    <w:p w:rsidR="00DD2274" w:rsidRDefault="00DD2274" w:rsidP="00DD2274">
      <w:pPr>
        <w:pStyle w:val="a4"/>
        <w:spacing w:line="276" w:lineRule="auto"/>
      </w:pPr>
      <w:r>
        <w:t>Детям старше 12 лет</w:t>
      </w:r>
    </w:p>
    <w:p w:rsidR="00DD2274" w:rsidRDefault="00DD2274" w:rsidP="00DD2274">
      <w:pPr>
        <w:pStyle w:val="3"/>
        <w:spacing w:line="276" w:lineRule="auto"/>
      </w:pPr>
      <w:r>
        <w:rPr>
          <w:rFonts w:eastAsia="Times New Roman"/>
        </w:rPr>
        <w:t>Дополнительная инструментальная диагностика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Нейрофизиологические исследования</w:t>
      </w:r>
    </w:p>
    <w:p w:rsidR="00DD2274" w:rsidRDefault="00DD2274" w:rsidP="00DD2274">
      <w:pPr>
        <w:pStyle w:val="a4"/>
        <w:spacing w:line="276" w:lineRule="auto"/>
      </w:pPr>
      <w:proofErr w:type="spellStart"/>
      <w:r>
        <w:rPr>
          <w:rStyle w:val="a5"/>
        </w:rPr>
        <w:t>Миелография</w:t>
      </w:r>
      <w:proofErr w:type="spellEnd"/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Дуплексное сканирование сосудов (артерий и вен) нижних конечностей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Анкетирование пациентов после хирургического лечения</w:t>
      </w:r>
    </w:p>
    <w:p w:rsidR="00DD2274" w:rsidRDefault="00DD2274" w:rsidP="00DD2274">
      <w:pPr>
        <w:pStyle w:val="2"/>
        <w:spacing w:line="276" w:lineRule="auto"/>
      </w:pPr>
      <w:r>
        <w:rPr>
          <w:rFonts w:eastAsia="Times New Roman"/>
        </w:rPr>
        <w:t>Лечение</w:t>
      </w:r>
    </w:p>
    <w:p w:rsidR="00DD2274" w:rsidRDefault="00DD2274" w:rsidP="00DD2274">
      <w:pPr>
        <w:pStyle w:val="3"/>
        <w:spacing w:line="276" w:lineRule="auto"/>
      </w:pPr>
      <w:r>
        <w:rPr>
          <w:rFonts w:eastAsia="Times New Roman"/>
        </w:rPr>
        <w:t>Консервативное лечение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Наложение корсета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Планирование хирургического лечения </w:t>
      </w:r>
    </w:p>
    <w:p w:rsidR="00DD2274" w:rsidRDefault="00DD2274" w:rsidP="00DD2274">
      <w:pPr>
        <w:pStyle w:val="a4"/>
        <w:spacing w:line="276" w:lineRule="auto"/>
      </w:pPr>
      <w:r>
        <w:t xml:space="preserve">По </w:t>
      </w:r>
      <w:proofErr w:type="spellStart"/>
      <w:r>
        <w:t>показаниямпредупреждение</w:t>
      </w:r>
      <w:proofErr w:type="spellEnd"/>
      <w:r>
        <w:t xml:space="preserve"> прогрессирования деформации и укрепление мышечного корсета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Комплексное немедикаментозное консервативное лечение</w:t>
      </w:r>
    </w:p>
    <w:p w:rsidR="00DD2274" w:rsidRDefault="00DD2274" w:rsidP="00DD2274">
      <w:pPr>
        <w:pStyle w:val="a4"/>
        <w:spacing w:line="276" w:lineRule="auto"/>
      </w:pPr>
      <w:r>
        <w:lastRenderedPageBreak/>
        <w:t>предупреждение прогрессирования деформации и укрепление мышечного корсета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Наблюдение и лечение у врачей-специалистов</w:t>
      </w:r>
    </w:p>
    <w:p w:rsidR="00DD2274" w:rsidRDefault="00DD2274" w:rsidP="00DD2274">
      <w:pPr>
        <w:pStyle w:val="a4"/>
        <w:spacing w:line="276" w:lineRule="auto"/>
      </w:pPr>
      <w:r>
        <w:t>для компенсации соматического статуса</w:t>
      </w:r>
    </w:p>
    <w:p w:rsidR="00DD2274" w:rsidRDefault="00DD2274" w:rsidP="00DD2274">
      <w:pPr>
        <w:pStyle w:val="3"/>
        <w:spacing w:line="276" w:lineRule="auto"/>
      </w:pPr>
      <w:r>
        <w:rPr>
          <w:rFonts w:eastAsia="Times New Roman"/>
        </w:rPr>
        <w:t>Хирургическое лечение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Показания к хирургическому лечению</w:t>
      </w:r>
    </w:p>
    <w:p w:rsidR="00DD2274" w:rsidRDefault="00DD2274" w:rsidP="00DD2274">
      <w:pPr>
        <w:pStyle w:val="a4"/>
        <w:spacing w:line="276" w:lineRule="auto"/>
      </w:pPr>
      <w:r>
        <w:t>Также при неэффективности консервативной терапии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Не рекомендуется проводить хирургическое лечение детям и подросткам при отсутствии условий для проведения</w:t>
      </w:r>
    </w:p>
    <w:p w:rsidR="00DD2274" w:rsidRDefault="00DD2274" w:rsidP="00DD2274">
      <w:pPr>
        <w:pStyle w:val="a4"/>
        <w:spacing w:line="276" w:lineRule="auto"/>
      </w:pPr>
      <w:proofErr w:type="spellStart"/>
      <w:r>
        <w:rPr>
          <w:rStyle w:val="a5"/>
        </w:rPr>
        <w:t>Транспедикулярная</w:t>
      </w:r>
      <w:proofErr w:type="spellEnd"/>
      <w:r>
        <w:rPr>
          <w:rStyle w:val="a5"/>
        </w:rPr>
        <w:t xml:space="preserve"> фиксация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Не рекомендуется использование ламинарной фиксации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Проведение операции задним доступом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Профилактика синдрома дистального смежного сегмента</w:t>
      </w:r>
    </w:p>
    <w:p w:rsidR="00DD2274" w:rsidRDefault="00DD2274" w:rsidP="00DD2274">
      <w:pPr>
        <w:pStyle w:val="a4"/>
        <w:spacing w:line="276" w:lineRule="auto"/>
      </w:pPr>
      <w:r>
        <w:t>В качестве дистального уровня фиксации тот позвонок, который соответствует линии отвеса, проходящей через задний край крестца до операции при положении стоя (</w:t>
      </w:r>
      <w:proofErr w:type="spellStart"/>
      <w:r>
        <w:t>sagittal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vertebra</w:t>
      </w:r>
      <w:proofErr w:type="spellEnd"/>
      <w:r>
        <w:t>)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Коррекция деформации методом </w:t>
      </w:r>
      <w:proofErr w:type="spellStart"/>
      <w:r>
        <w:rPr>
          <w:rStyle w:val="a5"/>
        </w:rPr>
        <w:t>торакоскопического</w:t>
      </w:r>
      <w:proofErr w:type="spellEnd"/>
      <w:r>
        <w:rPr>
          <w:rStyle w:val="a5"/>
        </w:rPr>
        <w:t xml:space="preserve"> переднего релиза с дорсальной фиксацией</w:t>
      </w:r>
    </w:p>
    <w:p w:rsidR="00DD2274" w:rsidRDefault="00DD2274" w:rsidP="00DD2274">
      <w:pPr>
        <w:pStyle w:val="a4"/>
        <w:spacing w:line="276" w:lineRule="auto"/>
      </w:pPr>
      <w:r>
        <w:t>При технических возможностях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Остеотомия по Понте</w:t>
      </w:r>
    </w:p>
    <w:p w:rsidR="00DD2274" w:rsidRDefault="00DD2274" w:rsidP="00DD2274">
      <w:pPr>
        <w:pStyle w:val="a4"/>
        <w:spacing w:line="276" w:lineRule="auto"/>
      </w:pPr>
      <w:r>
        <w:t xml:space="preserve">При отсутствии возможности проведения </w:t>
      </w:r>
      <w:proofErr w:type="spellStart"/>
      <w:r>
        <w:t>торакоскопического</w:t>
      </w:r>
      <w:proofErr w:type="spellEnd"/>
      <w:r>
        <w:t xml:space="preserve"> переднего релиза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Задняя резекция позвоночного столба из заднего доступа</w:t>
      </w:r>
    </w:p>
    <w:p w:rsidR="00DD2274" w:rsidRDefault="00DD2274" w:rsidP="00DD2274">
      <w:pPr>
        <w:pStyle w:val="a4"/>
        <w:spacing w:line="276" w:lineRule="auto"/>
      </w:pPr>
      <w:r>
        <w:t xml:space="preserve">При быстром прогрессировании заболевания и ригидности </w:t>
      </w:r>
      <w:proofErr w:type="spellStart"/>
      <w:r>
        <w:t>кифотической</w:t>
      </w:r>
      <w:proofErr w:type="spellEnd"/>
      <w:r>
        <w:t xml:space="preserve"> деформации, а также при выраженном болевом синдроме и обширной неврологической симптоматике.</w:t>
      </w:r>
    </w:p>
    <w:p w:rsidR="00DD2274" w:rsidRDefault="00DD2274" w:rsidP="00DD2274">
      <w:pPr>
        <w:pStyle w:val="a4"/>
        <w:spacing w:line="276" w:lineRule="auto"/>
      </w:pPr>
      <w:proofErr w:type="spellStart"/>
      <w:r>
        <w:rPr>
          <w:rStyle w:val="a5"/>
        </w:rPr>
        <w:t>Интраоперационный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нейромониторинг</w:t>
      </w:r>
      <w:r>
        <w:t>для</w:t>
      </w:r>
      <w:proofErr w:type="spellEnd"/>
      <w:r>
        <w:t xml:space="preserve"> </w:t>
      </w:r>
      <w:proofErr w:type="spellStart"/>
      <w:r>
        <w:t>минимализации</w:t>
      </w:r>
      <w:proofErr w:type="spellEnd"/>
      <w:r>
        <w:t xml:space="preserve"> рисков повреждения нервных структур</w:t>
      </w:r>
    </w:p>
    <w:p w:rsidR="00DD2274" w:rsidRDefault="00DD2274" w:rsidP="00DD2274">
      <w:pPr>
        <w:pStyle w:val="3"/>
        <w:spacing w:line="276" w:lineRule="auto"/>
      </w:pPr>
      <w:r>
        <w:rPr>
          <w:rFonts w:eastAsia="Times New Roman"/>
        </w:rPr>
        <w:t>Обезболивание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НПВП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lastRenderedPageBreak/>
        <w:t>Противоревматические препараты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Применение стандартных </w:t>
      </w:r>
      <w:proofErr w:type="spellStart"/>
      <w:r>
        <w:rPr>
          <w:rStyle w:val="a5"/>
        </w:rPr>
        <w:t>вертебрологических</w:t>
      </w:r>
      <w:proofErr w:type="spellEnd"/>
      <w:r>
        <w:rPr>
          <w:rStyle w:val="a5"/>
        </w:rPr>
        <w:t xml:space="preserve"> протоколов обезболивания</w:t>
      </w:r>
    </w:p>
    <w:p w:rsidR="00DD2274" w:rsidRDefault="00DD2274" w:rsidP="00DD2274">
      <w:pPr>
        <w:pStyle w:val="2"/>
        <w:spacing w:line="276" w:lineRule="auto"/>
        <w:rPr>
          <w:rFonts w:eastAsia="Times New Roman"/>
        </w:rPr>
      </w:pPr>
      <w:r>
        <w:rPr>
          <w:rStyle w:val="a5"/>
          <w:rFonts w:eastAsia="Times New Roman"/>
          <w:b/>
          <w:bCs/>
        </w:rPr>
        <w:t>Медицинская реабилитация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Ранняя двигательная активизация пациента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Дыхательная гимнастика</w:t>
      </w:r>
    </w:p>
    <w:p w:rsidR="00DD2274" w:rsidRDefault="00DD2274" w:rsidP="00DD2274">
      <w:pPr>
        <w:pStyle w:val="a4"/>
        <w:spacing w:line="276" w:lineRule="auto"/>
      </w:pPr>
      <w:r>
        <w:t>Ранний реабилитационный период (7-14 дней после радикальных вмешательств на позвоночнике)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Пассивная гимнастика в постели</w:t>
      </w:r>
    </w:p>
    <w:p w:rsidR="00DD2274" w:rsidRDefault="00DD2274" w:rsidP="00DD2274">
      <w:pPr>
        <w:pStyle w:val="a4"/>
        <w:spacing w:line="276" w:lineRule="auto"/>
      </w:pPr>
      <w:r>
        <w:t>Ранний реабилитационный период (7-14 дней после радикальных вмешательств на позвоночнике)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Применение </w:t>
      </w:r>
      <w:proofErr w:type="spellStart"/>
      <w:r>
        <w:rPr>
          <w:rStyle w:val="a5"/>
        </w:rPr>
        <w:t>вертикализаторов</w:t>
      </w:r>
      <w:proofErr w:type="spellEnd"/>
      <w:r>
        <w:rPr>
          <w:rStyle w:val="a5"/>
        </w:rPr>
        <w:t xml:space="preserve"> и балансировочных систем</w:t>
      </w:r>
    </w:p>
    <w:p w:rsidR="00DD2274" w:rsidRDefault="00DD2274" w:rsidP="00DD2274">
      <w:pPr>
        <w:pStyle w:val="a4"/>
        <w:spacing w:line="276" w:lineRule="auto"/>
      </w:pPr>
      <w:r>
        <w:t>Ранний реабилитационный период (7-14 дней после радикальных вмешательств на позвоночнике)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Избегание значительных нагрузок на позвоночник</w:t>
      </w:r>
    </w:p>
    <w:p w:rsidR="00DD2274" w:rsidRDefault="00DD2274" w:rsidP="00DD2274">
      <w:pPr>
        <w:pStyle w:val="a4"/>
        <w:spacing w:line="276" w:lineRule="auto"/>
      </w:pPr>
      <w:r>
        <w:t>Долгое сидение, стояние, ходьба, подъем тяжестей, наклоны и скручивание туловища, занятия контактными видами спорта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ЛФК</w:t>
      </w:r>
    </w:p>
    <w:p w:rsidR="00DD2274" w:rsidRDefault="00DD2274" w:rsidP="00DD2274">
      <w:pPr>
        <w:pStyle w:val="a4"/>
        <w:spacing w:line="276" w:lineRule="auto"/>
      </w:pPr>
      <w:r>
        <w:t>В поздний послеоперационный период (от 2 до 8 недель после радикальных вмешательств на позвоночнике)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Занятия на специализированных тренажерах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 xml:space="preserve">Тренировки на </w:t>
      </w:r>
      <w:proofErr w:type="spellStart"/>
      <w:r>
        <w:rPr>
          <w:rStyle w:val="a5"/>
        </w:rPr>
        <w:t>стабилометрической</w:t>
      </w:r>
      <w:proofErr w:type="spellEnd"/>
      <w:r>
        <w:rPr>
          <w:rStyle w:val="a5"/>
        </w:rPr>
        <w:t xml:space="preserve"> платформе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Физиотерапия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Массаж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Занятия в бассейне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Курсы реабилитационного лечения 4 раза в год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Контроль параметров вентиляции легких</w:t>
      </w:r>
    </w:p>
    <w:p w:rsidR="00DD2274" w:rsidRDefault="00DD2274" w:rsidP="00DD2274">
      <w:pPr>
        <w:pStyle w:val="2"/>
        <w:spacing w:line="276" w:lineRule="auto"/>
      </w:pPr>
      <w:r>
        <w:rPr>
          <w:rFonts w:eastAsia="Times New Roman"/>
        </w:rPr>
        <w:lastRenderedPageBreak/>
        <w:t>Профилактика и диспансерное наблюдение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Диспансерное наблюдение через 6, 12, 24 и 36 месяцев после завершающего этапа хирургического лечения</w:t>
      </w:r>
    </w:p>
    <w:p w:rsidR="00DD2274" w:rsidRDefault="00DD2274" w:rsidP="00DD2274">
      <w:pPr>
        <w:pStyle w:val="a4"/>
        <w:spacing w:line="276" w:lineRule="auto"/>
      </w:pPr>
      <w:r>
        <w:t>Контроль по месту проведения операции, включающий рентгенографию позвоночника, вертикальную, осмотр врача — травматолога-ортопеда, врача-невролога, топографию позвоночника компьютерную оптическую, фотографирование, заполнение анкеты SRS-22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Своевременное выявление и ранее начало консервативного лечения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Всем пациентам консервативное лечение на протяжении всей жизни</w:t>
      </w:r>
    </w:p>
    <w:p w:rsidR="00DD2274" w:rsidRDefault="00DD2274" w:rsidP="00DD2274">
      <w:pPr>
        <w:pStyle w:val="a4"/>
        <w:spacing w:line="276" w:lineRule="auto"/>
      </w:pPr>
      <w:r>
        <w:t>По поддержанию в оптимальном состоянии мышечного корсета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Снижение рисков, связанных с исполнением и эффективностью хирургического вмешательства</w:t>
      </w:r>
    </w:p>
    <w:p w:rsidR="00DD2274" w:rsidRDefault="00DD2274" w:rsidP="00DD2274">
      <w:pPr>
        <w:pStyle w:val="a4"/>
        <w:spacing w:line="276" w:lineRule="auto"/>
      </w:pPr>
      <w:r>
        <w:rPr>
          <w:rStyle w:val="a5"/>
        </w:rPr>
        <w:t>Снижение рисков развития послеоперационных осложнений и вероятного повторного вмешательства</w:t>
      </w:r>
    </w:p>
    <w:p w:rsidR="00DD2274" w:rsidRDefault="00DD2274" w:rsidP="00DD2274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06.02.2023</w:t>
      </w:r>
    </w:p>
    <w:p w:rsidR="00341AD9" w:rsidRDefault="00341AD9">
      <w:bookmarkStart w:id="0" w:name="_GoBack"/>
      <w:bookmarkEnd w:id="0"/>
    </w:p>
    <w:sectPr w:rsidR="0034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74"/>
    <w:rsid w:val="00341AD9"/>
    <w:rsid w:val="00D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3B51-F747-4F7F-9A6B-C7BB981F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7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D22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D2274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227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227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D22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227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D2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recomend/704_1" TargetMode="External"/><Relationship Id="rId4" Type="http://schemas.openxmlformats.org/officeDocument/2006/relationships/hyperlink" Target="https://1c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Вдовин</dc:creator>
  <cp:keywords/>
  <dc:description/>
  <cp:lastModifiedBy>Александр Г. Вдовин</cp:lastModifiedBy>
  <cp:revision>1</cp:revision>
  <dcterms:created xsi:type="dcterms:W3CDTF">2023-02-06T07:08:00Z</dcterms:created>
  <dcterms:modified xsi:type="dcterms:W3CDTF">2023-02-06T07:08:00Z</dcterms:modified>
</cp:coreProperties>
</file>