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A4" w:rsidRDefault="00EE70A4" w:rsidP="00EE70A4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лечения пациента детского возраста с ботулизмом</w:t>
      </w:r>
    </w:p>
    <w:p w:rsidR="00EE70A4" w:rsidRDefault="00EE70A4" w:rsidP="00EE70A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Ботулизм у детей</w:t>
        </w:r>
      </w:hyperlink>
      <w:r>
        <w:rPr>
          <w:rFonts w:eastAsia="Times New Roman"/>
        </w:rPr>
        <w:t xml:space="preserve">». 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Разработано на основе «Ботулизм у детей: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34"/>
        <w:gridCol w:w="7405"/>
      </w:tblGrid>
      <w:tr w:rsidR="00EE70A4" w:rsidTr="00EE7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t>дети, мальчики, девочки</w:t>
            </w:r>
          </w:p>
        </w:tc>
      </w:tr>
      <w:tr w:rsidR="00EE70A4" w:rsidTr="00EE7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t>любая</w:t>
            </w:r>
          </w:p>
        </w:tc>
      </w:tr>
      <w:tr w:rsidR="00EE70A4" w:rsidTr="00EE7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t>вне зависимости от стадии</w:t>
            </w:r>
          </w:p>
        </w:tc>
      </w:tr>
      <w:tr w:rsidR="00EE70A4" w:rsidTr="00EE7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t>вне зависимости от осложнений</w:t>
            </w:r>
          </w:p>
        </w:tc>
      </w:tr>
      <w:tr w:rsidR="00EE70A4" w:rsidTr="00EE70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70A4" w:rsidRDefault="00EE70A4">
            <w:pPr>
              <w:pStyle w:val="a4"/>
            </w:pPr>
            <w:r>
              <w:t>специализированная, стационарно, экстренная, неотложная</w:t>
            </w:r>
          </w:p>
        </w:tc>
      </w:tr>
    </w:tbl>
    <w:p w:rsidR="00EE70A4" w:rsidRDefault="00EE70A4" w:rsidP="00EE70A4">
      <w:pPr>
        <w:pStyle w:val="3"/>
        <w:spacing w:line="276" w:lineRule="auto"/>
      </w:pPr>
      <w:r>
        <w:rPr>
          <w:rFonts w:eastAsia="Times New Roman"/>
        </w:rPr>
        <w:t>Консультации врачей-специалистов в стационаре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Врача-реаниматолога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Врача-педиатра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Врача-невролога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Врача-кардиолога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Врача-неонатолога</w:t>
      </w:r>
    </w:p>
    <w:p w:rsidR="00EE70A4" w:rsidRDefault="00EE70A4" w:rsidP="00EE70A4">
      <w:pPr>
        <w:pStyle w:val="a4"/>
        <w:spacing w:line="276" w:lineRule="auto"/>
      </w:pPr>
      <w:r>
        <w:t>По возрасту</w:t>
      </w:r>
    </w:p>
    <w:p w:rsidR="00EE70A4" w:rsidRDefault="00EE70A4" w:rsidP="00EE70A4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Сбор анамнеза</w:t>
      </w:r>
    </w:p>
    <w:p w:rsidR="00EE70A4" w:rsidRDefault="00EE70A4" w:rsidP="00EE70A4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EE70A4" w:rsidRDefault="00EE70A4" w:rsidP="00EE70A4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EE70A4" w:rsidRDefault="00EE70A4" w:rsidP="00EE70A4">
      <w:pPr>
        <w:pStyle w:val="a4"/>
        <w:spacing w:line="276" w:lineRule="auto"/>
      </w:pPr>
      <w:proofErr w:type="spellStart"/>
      <w:r>
        <w:rPr>
          <w:rStyle w:val="a5"/>
        </w:rPr>
        <w:t>Скрининговая</w:t>
      </w:r>
      <w:proofErr w:type="spellEnd"/>
      <w:r>
        <w:rPr>
          <w:rStyle w:val="a5"/>
        </w:rPr>
        <w:t xml:space="preserve"> лабораторная диагностика</w:t>
      </w:r>
    </w:p>
    <w:p w:rsidR="00EE70A4" w:rsidRDefault="00EE70A4" w:rsidP="00EE70A4">
      <w:pPr>
        <w:pStyle w:val="a4"/>
        <w:spacing w:line="276" w:lineRule="auto"/>
      </w:pPr>
      <w:r>
        <w:t>В рамках клинического минимума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Общий анализ крови</w:t>
      </w:r>
    </w:p>
    <w:p w:rsidR="00EE70A4" w:rsidRDefault="00EE70A4" w:rsidP="00EE70A4">
      <w:pPr>
        <w:pStyle w:val="a4"/>
        <w:spacing w:line="276" w:lineRule="auto"/>
      </w:pPr>
      <w:r>
        <w:t>с исследованием лейкоцитарной формулы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lastRenderedPageBreak/>
        <w:t>Общий анализ мочи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Биохимический анализ крови</w:t>
      </w:r>
    </w:p>
    <w:p w:rsidR="00EE70A4" w:rsidRDefault="00EE70A4" w:rsidP="00EE70A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Мочевина</w:t>
      </w:r>
    </w:p>
    <w:p w:rsidR="00EE70A4" w:rsidRDefault="00EE70A4" w:rsidP="00EE70A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Креатинин</w:t>
      </w:r>
      <w:proofErr w:type="spellEnd"/>
    </w:p>
    <w:p w:rsidR="00EE70A4" w:rsidRDefault="00EE70A4" w:rsidP="00EE70A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Тропонин</w:t>
      </w:r>
      <w:proofErr w:type="spellEnd"/>
    </w:p>
    <w:p w:rsidR="00EE70A4" w:rsidRDefault="00EE70A4" w:rsidP="00EE70A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Кардиоспецифические</w:t>
      </w:r>
      <w:proofErr w:type="spellEnd"/>
      <w:r>
        <w:rPr>
          <w:rFonts w:eastAsia="Times New Roman"/>
        </w:rPr>
        <w:t xml:space="preserve"> энзимы:</w:t>
      </w:r>
    </w:p>
    <w:p w:rsidR="00EE70A4" w:rsidRDefault="00EE70A4" w:rsidP="00EE70A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КФК-МВ</w:t>
      </w:r>
    </w:p>
    <w:p w:rsidR="00EE70A4" w:rsidRDefault="00EE70A4" w:rsidP="00EE70A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АСТ</w:t>
      </w:r>
    </w:p>
    <w:p w:rsidR="00EE70A4" w:rsidRDefault="00EE70A4" w:rsidP="00EE70A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ЛДГ-1.2</w:t>
      </w:r>
    </w:p>
    <w:p w:rsidR="00EE70A4" w:rsidRDefault="00EE70A4" w:rsidP="00EE70A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CV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Проведение специфической лабораторной диагностики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 xml:space="preserve">Реакция нейтрализации </w:t>
      </w:r>
      <w:proofErr w:type="spellStart"/>
      <w:r>
        <w:rPr>
          <w:rStyle w:val="a5"/>
        </w:rPr>
        <w:t>ботулотоксинов</w:t>
      </w:r>
      <w:proofErr w:type="spellEnd"/>
      <w:r>
        <w:rPr>
          <w:rStyle w:val="a5"/>
        </w:rPr>
        <w:t xml:space="preserve"> антитоксическими сыворотками путём </w:t>
      </w:r>
      <w:proofErr w:type="spellStart"/>
      <w:r>
        <w:rPr>
          <w:rStyle w:val="a5"/>
        </w:rPr>
        <w:t>биопробы</w:t>
      </w:r>
      <w:proofErr w:type="spellEnd"/>
      <w:r>
        <w:rPr>
          <w:rStyle w:val="a5"/>
        </w:rPr>
        <w:t xml:space="preserve"> на белых мышах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Бактериологическая диагностика для выделения возбудителя</w:t>
      </w:r>
    </w:p>
    <w:p w:rsidR="00EE70A4" w:rsidRDefault="00EE70A4" w:rsidP="00EE70A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Забор материала при первом подозрении на ботулизм</w:t>
      </w:r>
    </w:p>
    <w:p w:rsidR="00EE70A4" w:rsidRDefault="00EE70A4" w:rsidP="00EE70A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Сроки получения результата- через 4-5 дней от момента забора материала.</w:t>
      </w:r>
    </w:p>
    <w:p w:rsidR="00EE70A4" w:rsidRDefault="00EE70A4" w:rsidP="00EE70A4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EE70A4" w:rsidRDefault="00EE70A4" w:rsidP="00EE70A4">
      <w:pPr>
        <w:pStyle w:val="a4"/>
        <w:spacing w:line="276" w:lineRule="auto"/>
      </w:pPr>
      <w:proofErr w:type="spellStart"/>
      <w:r>
        <w:rPr>
          <w:rStyle w:val="a5"/>
        </w:rPr>
        <w:t>Электронейромиография</w:t>
      </w:r>
      <w:proofErr w:type="spellEnd"/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ЭКГ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Рентгенография органов грудной клетки</w:t>
      </w:r>
    </w:p>
    <w:p w:rsidR="00EE70A4" w:rsidRDefault="00EE70A4" w:rsidP="00EE70A4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Консультации врачей-специалистов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Консультация врача-невролога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Консультация врача-кардиолога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Проведение дифференциальной диагностики</w:t>
      </w:r>
    </w:p>
    <w:p w:rsidR="00EE70A4" w:rsidRDefault="00EE70A4" w:rsidP="00EE70A4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Диетотерапия</w:t>
      </w:r>
    </w:p>
    <w:p w:rsidR="00EE70A4" w:rsidRDefault="00EE70A4" w:rsidP="00EE70A4">
      <w:pPr>
        <w:pStyle w:val="a4"/>
        <w:spacing w:line="276" w:lineRule="auto"/>
      </w:pPr>
      <w:r>
        <w:lastRenderedPageBreak/>
        <w:t>Зондовое/парентеральное питание</w:t>
      </w:r>
    </w:p>
    <w:p w:rsidR="00EE70A4" w:rsidRDefault="00EE70A4" w:rsidP="00EE70A4">
      <w:pPr>
        <w:pStyle w:val="3"/>
        <w:spacing w:line="276" w:lineRule="auto"/>
      </w:pPr>
      <w:r>
        <w:rPr>
          <w:rFonts w:eastAsia="Times New Roman"/>
        </w:rPr>
        <w:t>Этиотропная терапия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Введение противоботулинической сыворотки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Антибактериальные препараты широкого спектра действия</w:t>
      </w:r>
    </w:p>
    <w:p w:rsidR="00EE70A4" w:rsidRDefault="00EE70A4" w:rsidP="00EE70A4">
      <w:pPr>
        <w:pStyle w:val="3"/>
        <w:spacing w:line="276" w:lineRule="auto"/>
      </w:pPr>
      <w:proofErr w:type="spellStart"/>
      <w:r>
        <w:rPr>
          <w:rFonts w:eastAsia="Times New Roman"/>
        </w:rPr>
        <w:t>Дезинтоксикационная</w:t>
      </w:r>
      <w:proofErr w:type="spellEnd"/>
      <w:r>
        <w:rPr>
          <w:rFonts w:eastAsia="Times New Roman"/>
        </w:rPr>
        <w:t xml:space="preserve"> терапия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 xml:space="preserve">Промывание желудка </w:t>
      </w:r>
    </w:p>
    <w:p w:rsidR="00EE70A4" w:rsidRDefault="00EE70A4" w:rsidP="00EE70A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Водой</w:t>
      </w:r>
    </w:p>
    <w:p w:rsidR="00EE70A4" w:rsidRDefault="00EE70A4" w:rsidP="00EE70A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2-5% раствором натрия гидрокарбоната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Высокие очистительные клизмы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 xml:space="preserve">Назначение </w:t>
      </w:r>
      <w:proofErr w:type="spellStart"/>
      <w:r>
        <w:rPr>
          <w:rStyle w:val="a5"/>
        </w:rPr>
        <w:t>энтеросорбентов</w:t>
      </w:r>
      <w:proofErr w:type="spellEnd"/>
    </w:p>
    <w:p w:rsidR="00EE70A4" w:rsidRDefault="00EE70A4" w:rsidP="00EE70A4">
      <w:pPr>
        <w:pStyle w:val="3"/>
        <w:spacing w:line="276" w:lineRule="auto"/>
      </w:pPr>
      <w:r>
        <w:rPr>
          <w:rFonts w:eastAsia="Times New Roman"/>
        </w:rPr>
        <w:t>Иное лечение </w:t>
      </w:r>
    </w:p>
    <w:p w:rsidR="00EE70A4" w:rsidRDefault="00EE70A4" w:rsidP="00EE70A4">
      <w:pPr>
        <w:pStyle w:val="a4"/>
        <w:spacing w:line="276" w:lineRule="auto"/>
      </w:pPr>
      <w:proofErr w:type="spellStart"/>
      <w:r>
        <w:rPr>
          <w:rStyle w:val="a5"/>
        </w:rPr>
        <w:t>Назотрахеальная</w:t>
      </w:r>
      <w:proofErr w:type="spellEnd"/>
      <w:r>
        <w:rPr>
          <w:rStyle w:val="a5"/>
        </w:rPr>
        <w:t xml:space="preserve"> интубация</w:t>
      </w:r>
    </w:p>
    <w:p w:rsidR="00EE70A4" w:rsidRDefault="00EE70A4" w:rsidP="00EE70A4">
      <w:pPr>
        <w:pStyle w:val="a4"/>
        <w:spacing w:line="276" w:lineRule="auto"/>
      </w:pPr>
      <w:proofErr w:type="spellStart"/>
      <w:r>
        <w:rPr>
          <w:rStyle w:val="a5"/>
        </w:rPr>
        <w:t>Переинтубация</w:t>
      </w:r>
      <w:proofErr w:type="spellEnd"/>
    </w:p>
    <w:p w:rsidR="00EE70A4" w:rsidRDefault="00EE70A4" w:rsidP="00EE70A4">
      <w:pPr>
        <w:pStyle w:val="a4"/>
        <w:spacing w:line="276" w:lineRule="auto"/>
      </w:pPr>
      <w:r>
        <w:t>Каждые 3-5 дней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 xml:space="preserve">Гипербарическая </w:t>
      </w:r>
      <w:proofErr w:type="spellStart"/>
      <w:r>
        <w:rPr>
          <w:rStyle w:val="a5"/>
        </w:rPr>
        <w:t>оксигенация</w:t>
      </w:r>
      <w:proofErr w:type="spellEnd"/>
    </w:p>
    <w:p w:rsidR="00EE70A4" w:rsidRDefault="00EE70A4" w:rsidP="00EE70A4">
      <w:pPr>
        <w:pStyle w:val="2"/>
        <w:spacing w:line="276" w:lineRule="auto"/>
      </w:pPr>
      <w:r>
        <w:rPr>
          <w:rFonts w:eastAsia="Times New Roman"/>
        </w:rPr>
        <w:t>Реабилитация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Наблюдение врачей-специалистов</w:t>
      </w:r>
    </w:p>
    <w:p w:rsidR="00EE70A4" w:rsidRDefault="00EE70A4" w:rsidP="00EE70A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Невролога</w:t>
      </w:r>
    </w:p>
    <w:p w:rsidR="00EE70A4" w:rsidRDefault="00EE70A4" w:rsidP="00EE70A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Кардиолога</w:t>
      </w:r>
    </w:p>
    <w:p w:rsidR="00EE70A4" w:rsidRDefault="00EE70A4" w:rsidP="00EE70A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Пульмонолога и др.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Наблюдение врачей-специалистов</w:t>
      </w:r>
    </w:p>
    <w:p w:rsidR="00EE70A4" w:rsidRDefault="00EE70A4" w:rsidP="00EE70A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Невролога</w:t>
      </w:r>
    </w:p>
    <w:p w:rsidR="00EE70A4" w:rsidRDefault="00EE70A4" w:rsidP="00EE70A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Кардиолога</w:t>
      </w:r>
    </w:p>
    <w:p w:rsidR="00EE70A4" w:rsidRDefault="00EE70A4" w:rsidP="00EE70A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Пульмонолога и др.</w:t>
      </w:r>
    </w:p>
    <w:p w:rsidR="00EE70A4" w:rsidRDefault="00EE70A4" w:rsidP="00EE70A4">
      <w:pPr>
        <w:pStyle w:val="3"/>
        <w:spacing w:line="276" w:lineRule="auto"/>
      </w:pPr>
      <w:r>
        <w:rPr>
          <w:rFonts w:eastAsia="Times New Roman"/>
        </w:rPr>
        <w:t>Диспансерное наблюдение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lastRenderedPageBreak/>
        <w:t xml:space="preserve">Наблюдение врачами-специалистами не менее 6 </w:t>
      </w:r>
      <w:proofErr w:type="spellStart"/>
      <w:r>
        <w:rPr>
          <w:rStyle w:val="a5"/>
        </w:rPr>
        <w:t>мес</w:t>
      </w:r>
      <w:proofErr w:type="spellEnd"/>
      <w:r>
        <w:rPr>
          <w:rStyle w:val="a5"/>
        </w:rPr>
        <w:t xml:space="preserve"> при развитии поражений и сохранении симптоматики</w:t>
      </w:r>
    </w:p>
    <w:p w:rsidR="00EE70A4" w:rsidRDefault="00EE70A4" w:rsidP="00EE70A4">
      <w:pPr>
        <w:pStyle w:val="2"/>
        <w:spacing w:line="276" w:lineRule="auto"/>
      </w:pPr>
      <w:r>
        <w:rPr>
          <w:rFonts w:eastAsia="Times New Roman"/>
        </w:rPr>
        <w:t>Профилактика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Активная иммунизация</w:t>
      </w:r>
    </w:p>
    <w:p w:rsidR="00EE70A4" w:rsidRDefault="00EE70A4" w:rsidP="00EE70A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Потенциально контактным с возбудителем</w:t>
      </w:r>
    </w:p>
    <w:p w:rsidR="00EE70A4" w:rsidRDefault="00EE70A4" w:rsidP="00EE70A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Трехкратно</w:t>
      </w:r>
    </w:p>
    <w:p w:rsidR="00EE70A4" w:rsidRDefault="00EE70A4" w:rsidP="00EE70A4">
      <w:pPr>
        <w:pStyle w:val="a4"/>
        <w:spacing w:line="276" w:lineRule="auto"/>
      </w:pPr>
      <w:r>
        <w:rPr>
          <w:rStyle w:val="a5"/>
        </w:rPr>
        <w:t>Строгое соблюдение правил консервирования</w:t>
      </w:r>
    </w:p>
    <w:p w:rsidR="00EE70A4" w:rsidRDefault="00EE70A4" w:rsidP="00EE70A4">
      <w:pPr>
        <w:pStyle w:val="a4"/>
        <w:spacing w:line="276" w:lineRule="auto"/>
      </w:pPr>
      <w:r>
        <w:t>Стерилизация (120°С)</w:t>
      </w:r>
    </w:p>
    <w:p w:rsidR="00EE70A4" w:rsidRDefault="00EE70A4" w:rsidP="00EE70A4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4D6ED0" w:rsidRDefault="004D6ED0">
      <w:bookmarkStart w:id="0" w:name="_GoBack"/>
      <w:bookmarkEnd w:id="0"/>
    </w:p>
    <w:sectPr w:rsidR="004D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481"/>
    <w:multiLevelType w:val="multilevel"/>
    <w:tmpl w:val="0488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64141"/>
    <w:multiLevelType w:val="multilevel"/>
    <w:tmpl w:val="56E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0580D"/>
    <w:multiLevelType w:val="multilevel"/>
    <w:tmpl w:val="4F8E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24861"/>
    <w:multiLevelType w:val="multilevel"/>
    <w:tmpl w:val="052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F0BAA"/>
    <w:multiLevelType w:val="multilevel"/>
    <w:tmpl w:val="735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81C44"/>
    <w:multiLevelType w:val="multilevel"/>
    <w:tmpl w:val="3290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32DD8"/>
    <w:multiLevelType w:val="multilevel"/>
    <w:tmpl w:val="F64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4"/>
    <w:rsid w:val="004D6ED0"/>
    <w:rsid w:val="00E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1949-0603-4076-9314-A05853A8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E70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EE70A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70A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0A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E70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70A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697_1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2023-02-06T07:01:00Z</dcterms:created>
  <dcterms:modified xsi:type="dcterms:W3CDTF">2023-02-06T07:01:00Z</dcterms:modified>
</cp:coreProperties>
</file>